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3D59" w14:textId="77777777" w:rsidR="007F0ACA" w:rsidRPr="007F0ACA" w:rsidRDefault="007F0ACA" w:rsidP="007F0ACA">
      <w:pPr>
        <w:pStyle w:val="Rubrik9"/>
        <w:spacing w:line="320" w:lineRule="exact"/>
        <w:jc w:val="both"/>
        <w:rPr>
          <w:rFonts w:ascii="Calibri" w:hAnsi="Calibri" w:cs="Calibri"/>
          <w:b/>
          <w:bCs/>
          <w:sz w:val="28"/>
          <w:szCs w:val="28"/>
          <w:lang w:val="sv-SE"/>
        </w:rPr>
      </w:pPr>
      <w:r w:rsidRPr="007F0ACA">
        <w:rPr>
          <w:rFonts w:ascii="Calibri" w:hAnsi="Calibri" w:cs="Calibri"/>
          <w:b/>
          <w:bCs/>
          <w:sz w:val="28"/>
          <w:szCs w:val="28"/>
          <w:lang w:val="sv-SE"/>
        </w:rPr>
        <w:t xml:space="preserve">Fullständiga förslag till beslut </w:t>
      </w:r>
    </w:p>
    <w:p w14:paraId="428E2AB7" w14:textId="0D6577A9" w:rsidR="007F0ACA" w:rsidRPr="0005215B" w:rsidRDefault="007F0ACA" w:rsidP="007F0ACA">
      <w:pPr>
        <w:pStyle w:val="Rubrik9"/>
        <w:spacing w:line="320" w:lineRule="exact"/>
        <w:jc w:val="both"/>
        <w:rPr>
          <w:rFonts w:ascii="Calibri" w:hAnsi="Calibri" w:cs="Calibri"/>
          <w:b/>
          <w:bCs/>
          <w:sz w:val="28"/>
          <w:szCs w:val="28"/>
          <w:lang w:val="sv-SE"/>
        </w:rPr>
      </w:pPr>
      <w:r>
        <w:rPr>
          <w:rFonts w:ascii="Calibri" w:hAnsi="Calibri" w:cs="Calibri"/>
          <w:b/>
          <w:bCs/>
          <w:sz w:val="28"/>
          <w:szCs w:val="28"/>
          <w:lang w:val="sv-SE"/>
        </w:rPr>
        <w:t>Extra Bolagsstämma</w:t>
      </w:r>
      <w:r w:rsidRPr="007F0ACA">
        <w:rPr>
          <w:rFonts w:ascii="Calibri" w:hAnsi="Calibri" w:cs="Calibri"/>
          <w:b/>
          <w:bCs/>
          <w:sz w:val="28"/>
          <w:szCs w:val="28"/>
          <w:lang w:val="sv-SE"/>
        </w:rPr>
        <w:t xml:space="preserve"> Bluelake Mineral AB (publ) (”Bolaget</w:t>
      </w:r>
      <w:r w:rsidRPr="0005215B">
        <w:rPr>
          <w:rFonts w:ascii="Calibri" w:hAnsi="Calibri" w:cs="Calibri"/>
          <w:b/>
          <w:bCs/>
          <w:sz w:val="28"/>
          <w:szCs w:val="28"/>
          <w:lang w:val="sv-SE"/>
        </w:rPr>
        <w:t>”) 202</w:t>
      </w:r>
      <w:r w:rsidR="00F138E5" w:rsidRPr="0005215B">
        <w:rPr>
          <w:rFonts w:ascii="Calibri" w:hAnsi="Calibri" w:cs="Calibri"/>
          <w:b/>
          <w:bCs/>
          <w:sz w:val="28"/>
          <w:szCs w:val="28"/>
          <w:lang w:val="sv-SE"/>
        </w:rPr>
        <w:t>5-</w:t>
      </w:r>
      <w:r w:rsidR="0005215B" w:rsidRPr="0005215B">
        <w:rPr>
          <w:rFonts w:ascii="Calibri" w:hAnsi="Calibri" w:cs="Calibri"/>
          <w:b/>
          <w:bCs/>
          <w:sz w:val="28"/>
          <w:szCs w:val="28"/>
          <w:lang w:val="sv-SE"/>
        </w:rPr>
        <w:t>11-1</w:t>
      </w:r>
      <w:r w:rsidR="004646B1">
        <w:rPr>
          <w:rFonts w:ascii="Calibri" w:hAnsi="Calibri" w:cs="Calibri"/>
          <w:b/>
          <w:bCs/>
          <w:sz w:val="28"/>
          <w:szCs w:val="28"/>
          <w:lang w:val="sv-SE"/>
        </w:rPr>
        <w:t>7</w:t>
      </w:r>
    </w:p>
    <w:p w14:paraId="63098ED6" w14:textId="77777777" w:rsidR="007F0ACA" w:rsidRPr="0005215B" w:rsidRDefault="007F0ACA" w:rsidP="007F0ACA">
      <w:pPr>
        <w:jc w:val="both"/>
        <w:rPr>
          <w:rFonts w:ascii="Calibri" w:hAnsi="Calibri" w:cs="Calibri"/>
          <w:b/>
          <w:bCs/>
          <w:i/>
          <w:iCs/>
          <w:szCs w:val="24"/>
          <w:lang w:val="en-GB"/>
        </w:rPr>
      </w:pPr>
      <w:r w:rsidRPr="0005215B">
        <w:rPr>
          <w:rFonts w:ascii="Calibri" w:hAnsi="Calibri" w:cs="Calibri"/>
          <w:b/>
          <w:bCs/>
          <w:i/>
          <w:iCs/>
          <w:szCs w:val="24"/>
          <w:lang w:val="en-GB"/>
        </w:rPr>
        <w:t xml:space="preserve">Complete proposals for </w:t>
      </w:r>
    </w:p>
    <w:p w14:paraId="00B99837" w14:textId="51DACF8E" w:rsidR="007F0ACA" w:rsidRPr="00BF7F5E" w:rsidRDefault="007F0ACA" w:rsidP="007F0ACA">
      <w:pPr>
        <w:jc w:val="both"/>
        <w:rPr>
          <w:rFonts w:ascii="Calibri" w:hAnsi="Calibri" w:cs="Calibri"/>
          <w:b/>
          <w:bCs/>
          <w:i/>
          <w:iCs/>
          <w:szCs w:val="24"/>
          <w:lang w:val="en-GB"/>
        </w:rPr>
      </w:pPr>
      <w:r w:rsidRPr="0005215B">
        <w:rPr>
          <w:rFonts w:ascii="Calibri" w:hAnsi="Calibri" w:cs="Calibri"/>
          <w:b/>
          <w:bCs/>
          <w:i/>
          <w:iCs/>
          <w:szCs w:val="24"/>
          <w:lang w:val="en-GB"/>
        </w:rPr>
        <w:t>Extraordinary General Meeting in Bluelake Mineral AB (publ) (the “Company”) 202</w:t>
      </w:r>
      <w:r w:rsidR="00F138E5" w:rsidRPr="0005215B">
        <w:rPr>
          <w:rFonts w:ascii="Calibri" w:hAnsi="Calibri" w:cs="Calibri"/>
          <w:b/>
          <w:bCs/>
          <w:i/>
          <w:iCs/>
          <w:szCs w:val="24"/>
          <w:lang w:val="en-GB"/>
        </w:rPr>
        <w:t>5-</w:t>
      </w:r>
      <w:r w:rsidR="0005215B" w:rsidRPr="0005215B">
        <w:rPr>
          <w:rFonts w:ascii="Calibri" w:hAnsi="Calibri" w:cs="Calibri"/>
          <w:b/>
          <w:bCs/>
          <w:i/>
          <w:iCs/>
          <w:szCs w:val="24"/>
          <w:lang w:val="en-GB"/>
        </w:rPr>
        <w:t>11-1</w:t>
      </w:r>
      <w:r w:rsidR="004646B1">
        <w:rPr>
          <w:rFonts w:ascii="Calibri" w:hAnsi="Calibri" w:cs="Calibri"/>
          <w:b/>
          <w:bCs/>
          <w:i/>
          <w:iCs/>
          <w:szCs w:val="24"/>
          <w:lang w:val="en-GB"/>
        </w:rPr>
        <w:t>7</w:t>
      </w:r>
    </w:p>
    <w:p w14:paraId="586A01E2" w14:textId="77777777" w:rsidR="00F33FBE" w:rsidRDefault="00F33FBE" w:rsidP="00E233DF">
      <w:pPr>
        <w:pStyle w:val="Default"/>
        <w:jc w:val="both"/>
        <w:rPr>
          <w:rFonts w:ascii="Calibri" w:hAnsi="Calibri" w:cs="Calibri"/>
          <w:bCs/>
          <w:i/>
          <w:iCs/>
          <w:sz w:val="22"/>
          <w:szCs w:val="22"/>
          <w:lang w:val="en-GB"/>
        </w:rPr>
      </w:pPr>
    </w:p>
    <w:p w14:paraId="2F63F8B1" w14:textId="77777777" w:rsidR="00F33FBE" w:rsidRDefault="00F33FBE" w:rsidP="00E233DF">
      <w:pPr>
        <w:pStyle w:val="Default"/>
        <w:jc w:val="both"/>
        <w:rPr>
          <w:rFonts w:ascii="Calibri" w:hAnsi="Calibri" w:cs="Calibri"/>
          <w:bCs/>
          <w:i/>
          <w:iCs/>
          <w:sz w:val="22"/>
          <w:szCs w:val="22"/>
          <w:lang w:val="en-GB"/>
        </w:rPr>
      </w:pPr>
    </w:p>
    <w:p w14:paraId="75DAF2F2" w14:textId="68256CAD" w:rsidR="00033F70" w:rsidRPr="00033F70" w:rsidRDefault="00F33FBE" w:rsidP="00033F70">
      <w:pPr>
        <w:pStyle w:val="Brdtext"/>
        <w:tabs>
          <w:tab w:val="clear" w:pos="567"/>
          <w:tab w:val="left" w:pos="851"/>
        </w:tabs>
        <w:spacing w:line="300" w:lineRule="exact"/>
        <w:jc w:val="both"/>
        <w:rPr>
          <w:rFonts w:ascii="Calibri" w:hAnsi="Calibri" w:cs="Calibri"/>
          <w:b/>
          <w:bCs/>
          <w:sz w:val="22"/>
          <w:szCs w:val="22"/>
        </w:rPr>
      </w:pPr>
      <w:r w:rsidRPr="009E1596">
        <w:rPr>
          <w:rFonts w:ascii="Calibri" w:hAnsi="Calibri" w:cs="Calibri"/>
          <w:b/>
          <w:sz w:val="22"/>
          <w:szCs w:val="22"/>
        </w:rPr>
        <w:t xml:space="preserve">Punkt </w:t>
      </w:r>
      <w:r w:rsidR="004646B1">
        <w:rPr>
          <w:rFonts w:ascii="Calibri" w:hAnsi="Calibri" w:cs="Calibri"/>
          <w:b/>
          <w:sz w:val="22"/>
          <w:szCs w:val="22"/>
        </w:rPr>
        <w:t>6</w:t>
      </w:r>
      <w:r w:rsidRPr="009E1596">
        <w:rPr>
          <w:rFonts w:ascii="Calibri" w:hAnsi="Calibri" w:cs="Calibri"/>
          <w:b/>
          <w:sz w:val="22"/>
          <w:szCs w:val="22"/>
        </w:rPr>
        <w:t xml:space="preserve"> </w:t>
      </w:r>
      <w:r w:rsidR="00033F70" w:rsidRPr="001C5E53">
        <w:rPr>
          <w:rFonts w:ascii="Calibri" w:hAnsi="Calibri" w:cs="Calibri"/>
          <w:b/>
          <w:bCs/>
          <w:sz w:val="22"/>
          <w:szCs w:val="22"/>
        </w:rPr>
        <w:t xml:space="preserve">Beslut om </w:t>
      </w:r>
      <w:r w:rsidR="00CB45F5">
        <w:rPr>
          <w:rFonts w:ascii="Calibri" w:hAnsi="Calibri" w:cs="Calibri"/>
          <w:b/>
          <w:bCs/>
          <w:sz w:val="22"/>
          <w:szCs w:val="22"/>
        </w:rPr>
        <w:t xml:space="preserve">godkännande av styrelsens beslut om </w:t>
      </w:r>
      <w:r w:rsidR="00033F70" w:rsidRPr="001C5E53">
        <w:rPr>
          <w:rFonts w:ascii="Calibri" w:hAnsi="Calibri" w:cs="Calibri"/>
          <w:b/>
          <w:bCs/>
          <w:sz w:val="22"/>
          <w:szCs w:val="22"/>
        </w:rPr>
        <w:t>emission av teckningsoptioner av serie TO6</w:t>
      </w:r>
      <w:r w:rsidR="00033F70">
        <w:rPr>
          <w:rFonts w:ascii="Calibri" w:hAnsi="Calibri" w:cs="Calibri"/>
          <w:b/>
          <w:bCs/>
          <w:sz w:val="22"/>
          <w:szCs w:val="22"/>
        </w:rPr>
        <w:t xml:space="preserve"> </w:t>
      </w:r>
    </w:p>
    <w:p w14:paraId="002F6C85" w14:textId="37E0BC05" w:rsidR="00033F70" w:rsidRPr="00762390" w:rsidRDefault="00F33FBE" w:rsidP="00033F70">
      <w:pPr>
        <w:pStyle w:val="Brdtext"/>
        <w:tabs>
          <w:tab w:val="clear" w:pos="567"/>
          <w:tab w:val="left" w:pos="851"/>
        </w:tabs>
        <w:spacing w:line="300" w:lineRule="exact"/>
        <w:jc w:val="both"/>
        <w:rPr>
          <w:rFonts w:ascii="Calibri" w:hAnsi="Calibri" w:cs="Calibri"/>
          <w:b/>
          <w:bCs/>
          <w:sz w:val="22"/>
          <w:szCs w:val="22"/>
          <w:lang w:val="en-US"/>
        </w:rPr>
      </w:pPr>
      <w:r w:rsidRPr="00762390">
        <w:rPr>
          <w:rFonts w:ascii="Calibri" w:hAnsi="Calibri" w:cs="Calibri"/>
          <w:b/>
          <w:i/>
          <w:iCs/>
          <w:sz w:val="22"/>
          <w:szCs w:val="22"/>
          <w:lang w:val="en-US"/>
        </w:rPr>
        <w:t xml:space="preserve">Item </w:t>
      </w:r>
      <w:r w:rsidR="004646B1" w:rsidRPr="00762390">
        <w:rPr>
          <w:rFonts w:ascii="Calibri" w:hAnsi="Calibri" w:cs="Calibri"/>
          <w:b/>
          <w:i/>
          <w:iCs/>
          <w:sz w:val="22"/>
          <w:szCs w:val="22"/>
          <w:lang w:val="en-US"/>
        </w:rPr>
        <w:t>6</w:t>
      </w:r>
      <w:r w:rsidR="00033F70" w:rsidRPr="00762390">
        <w:rPr>
          <w:rFonts w:ascii="Calibri" w:hAnsi="Calibri" w:cs="Calibri"/>
          <w:b/>
          <w:i/>
          <w:iCs/>
          <w:sz w:val="22"/>
          <w:szCs w:val="22"/>
          <w:lang w:val="en-US"/>
        </w:rPr>
        <w:t xml:space="preserve"> - </w:t>
      </w:r>
      <w:r w:rsidR="00033F70" w:rsidRPr="00762390">
        <w:rPr>
          <w:rFonts w:ascii="Calibri" w:hAnsi="Calibri"/>
          <w:b/>
          <w:i/>
          <w:sz w:val="22"/>
          <w:lang w:val="en-US"/>
        </w:rPr>
        <w:t xml:space="preserve">Decision on </w:t>
      </w:r>
      <w:r w:rsidR="00CB45F5" w:rsidRPr="00CB45F5">
        <w:rPr>
          <w:rFonts w:ascii="Calibri" w:hAnsi="Calibri" w:cs="Calibri"/>
          <w:b/>
          <w:bCs/>
          <w:i/>
          <w:sz w:val="22"/>
          <w:szCs w:val="22"/>
          <w:lang w:val="en-GB"/>
        </w:rPr>
        <w:t xml:space="preserve">approval of the board's decision on </w:t>
      </w:r>
      <w:r w:rsidR="00033F70" w:rsidRPr="00762390">
        <w:rPr>
          <w:rFonts w:ascii="Calibri" w:hAnsi="Calibri"/>
          <w:b/>
          <w:i/>
          <w:sz w:val="22"/>
          <w:lang w:val="en-US"/>
        </w:rPr>
        <w:t>a directed issue of warrants series TO6</w:t>
      </w:r>
    </w:p>
    <w:p w14:paraId="44EA35C4" w14:textId="3662C7C4" w:rsidR="00F33FBE" w:rsidRPr="00762390" w:rsidRDefault="00F33FBE" w:rsidP="00F33FBE">
      <w:pPr>
        <w:spacing w:line="300" w:lineRule="exact"/>
        <w:jc w:val="both"/>
        <w:rPr>
          <w:rFonts w:ascii="Calibri" w:hAnsi="Calibri" w:cs="Calibri"/>
          <w:b/>
          <w:i/>
          <w:iCs/>
          <w:sz w:val="22"/>
          <w:szCs w:val="22"/>
          <w:lang w:val="en-US"/>
        </w:rPr>
      </w:pPr>
    </w:p>
    <w:p w14:paraId="38572CFF" w14:textId="48482DA0" w:rsidR="008D7E01" w:rsidRPr="00762390" w:rsidRDefault="008D7E01" w:rsidP="008D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sz w:val="22"/>
          <w:szCs w:val="22"/>
          <w:lang w:val="en-US"/>
        </w:rPr>
      </w:pPr>
      <w:r w:rsidRPr="00160C16">
        <w:rPr>
          <w:rFonts w:ascii="Calibri" w:hAnsi="Calibri" w:cs="Calibri"/>
          <w:color w:val="000000"/>
          <w:sz w:val="22"/>
          <w:szCs w:val="22"/>
        </w:rPr>
        <w:t xml:space="preserve">Styrelsen föreslår att stämman fattar beslut om att godkänna styrelsens beslut från </w:t>
      </w:r>
      <w:r w:rsidR="00762390">
        <w:rPr>
          <w:rFonts w:ascii="Calibri" w:hAnsi="Calibri" w:cs="Calibri"/>
          <w:color w:val="000000"/>
          <w:sz w:val="22"/>
          <w:szCs w:val="22"/>
        </w:rPr>
        <w:t>den 21 oktober 2025</w:t>
      </w:r>
      <w:r w:rsidRPr="00160C16">
        <w:rPr>
          <w:rFonts w:ascii="Calibri" w:hAnsi="Calibri" w:cs="Calibri"/>
          <w:color w:val="000000"/>
          <w:sz w:val="22"/>
          <w:szCs w:val="22"/>
        </w:rPr>
        <w:t xml:space="preserve"> om </w:t>
      </w:r>
      <w:r w:rsidRPr="00160C16">
        <w:rPr>
          <w:rFonts w:ascii="Calibri" w:hAnsi="Calibri" w:cs="Calibri"/>
          <w:sz w:val="22"/>
          <w:szCs w:val="22"/>
        </w:rPr>
        <w:t xml:space="preserve">att emittera högst 5 555 554 teckningsoptioner av serie TO6, </w:t>
      </w:r>
      <w:r w:rsidRPr="00160C16">
        <w:rPr>
          <w:rFonts w:ascii="Calibri" w:hAnsi="Calibri" w:cs="Calibri"/>
          <w:color w:val="000000"/>
          <w:sz w:val="22"/>
          <w:szCs w:val="22"/>
        </w:rPr>
        <w:t xml:space="preserve">berättigande till teckning av högst 5 555 554 aktier i Bolaget, </w:t>
      </w:r>
      <w:r w:rsidRPr="00160C16">
        <w:rPr>
          <w:rFonts w:ascii="Calibri" w:hAnsi="Calibri" w:cs="Calibri"/>
          <w:sz w:val="22"/>
          <w:szCs w:val="22"/>
        </w:rPr>
        <w:t xml:space="preserve">innebärande en ökning av aktiekapitalet vid fullt utnyttjande med högst SEK 555 555,40. Styrelsen </w:t>
      </w:r>
      <w:r w:rsidR="006347EC" w:rsidRPr="00160C16">
        <w:rPr>
          <w:rFonts w:ascii="Calibri" w:hAnsi="Calibri" w:cs="Calibri"/>
          <w:sz w:val="22"/>
          <w:szCs w:val="22"/>
        </w:rPr>
        <w:t>har vi</w:t>
      </w:r>
      <w:r w:rsidR="006D4133" w:rsidRPr="00160C16">
        <w:rPr>
          <w:rFonts w:ascii="Calibri" w:hAnsi="Calibri" w:cs="Calibri"/>
          <w:sz w:val="22"/>
          <w:szCs w:val="22"/>
        </w:rPr>
        <w:t xml:space="preserve">dare beslutat </w:t>
      </w:r>
      <w:r w:rsidRPr="00160C16">
        <w:rPr>
          <w:rFonts w:ascii="Calibri" w:hAnsi="Calibri" w:cs="Calibri"/>
          <w:sz w:val="22"/>
          <w:szCs w:val="22"/>
        </w:rPr>
        <w:t xml:space="preserve">att bolagsstämmans godkännande av styrelsens beslut enligt </w:t>
      </w:r>
      <w:r w:rsidR="006D4133" w:rsidRPr="00160C16">
        <w:rPr>
          <w:rFonts w:ascii="Calibri" w:hAnsi="Calibri" w:cs="Calibri"/>
          <w:sz w:val="22"/>
          <w:szCs w:val="22"/>
        </w:rPr>
        <w:t>denna punkt 6</w:t>
      </w:r>
      <w:r w:rsidRPr="00160C16">
        <w:rPr>
          <w:rFonts w:ascii="Calibri" w:hAnsi="Calibri" w:cs="Calibri"/>
          <w:sz w:val="22"/>
          <w:szCs w:val="22"/>
        </w:rPr>
        <w:t xml:space="preserve"> samt bolagsstämmans beslut om överlåtelse av teckningsoptioner enligt beslutspunkt </w:t>
      </w:r>
      <w:r w:rsidR="00C75A17" w:rsidRPr="00160C16">
        <w:rPr>
          <w:rFonts w:ascii="Calibri" w:hAnsi="Calibri" w:cs="Calibri"/>
          <w:sz w:val="22"/>
          <w:szCs w:val="22"/>
        </w:rPr>
        <w:t>7</w:t>
      </w:r>
      <w:r w:rsidRPr="00160C16">
        <w:rPr>
          <w:rFonts w:ascii="Calibri" w:hAnsi="Calibri" w:cs="Calibri"/>
          <w:sz w:val="22"/>
          <w:szCs w:val="22"/>
        </w:rPr>
        <w:t xml:space="preserve"> nedan ska fattas som ett beslut och är således villkorade av varandra. </w:t>
      </w:r>
      <w:r w:rsidR="00D72448" w:rsidRPr="00762390">
        <w:rPr>
          <w:rFonts w:ascii="Calibri" w:hAnsi="Calibri" w:cs="Calibri"/>
          <w:sz w:val="22"/>
          <w:szCs w:val="22"/>
          <w:lang w:val="en-US"/>
        </w:rPr>
        <w:t xml:space="preserve">För </w:t>
      </w:r>
      <w:proofErr w:type="spellStart"/>
      <w:r w:rsidR="00D72448" w:rsidRPr="00762390">
        <w:rPr>
          <w:rFonts w:ascii="Calibri" w:hAnsi="Calibri" w:cs="Calibri"/>
          <w:sz w:val="22"/>
          <w:szCs w:val="22"/>
          <w:lang w:val="en-US"/>
        </w:rPr>
        <w:t>beslutet</w:t>
      </w:r>
      <w:proofErr w:type="spellEnd"/>
      <w:r w:rsidR="00D72448" w:rsidRPr="00762390">
        <w:rPr>
          <w:rFonts w:ascii="Calibri" w:hAnsi="Calibri" w:cs="Calibri"/>
          <w:sz w:val="22"/>
          <w:szCs w:val="22"/>
          <w:lang w:val="en-US"/>
        </w:rPr>
        <w:t xml:space="preserve"> ska i </w:t>
      </w:r>
      <w:proofErr w:type="spellStart"/>
      <w:r w:rsidR="00D72448" w:rsidRPr="00762390">
        <w:rPr>
          <w:rFonts w:ascii="Calibri" w:hAnsi="Calibri" w:cs="Calibri"/>
          <w:sz w:val="22"/>
          <w:szCs w:val="22"/>
          <w:lang w:val="en-US"/>
        </w:rPr>
        <w:t>övrigt</w:t>
      </w:r>
      <w:proofErr w:type="spellEnd"/>
      <w:r w:rsidR="00D72448" w:rsidRPr="00762390">
        <w:rPr>
          <w:rFonts w:ascii="Calibri" w:hAnsi="Calibri" w:cs="Calibri"/>
          <w:sz w:val="22"/>
          <w:szCs w:val="22"/>
          <w:lang w:val="en-US"/>
        </w:rPr>
        <w:t xml:space="preserve"> </w:t>
      </w:r>
      <w:proofErr w:type="spellStart"/>
      <w:r w:rsidR="00D72448" w:rsidRPr="00762390">
        <w:rPr>
          <w:rFonts w:ascii="Calibri" w:hAnsi="Calibri" w:cs="Calibri"/>
          <w:sz w:val="22"/>
          <w:szCs w:val="22"/>
          <w:lang w:val="en-US"/>
        </w:rPr>
        <w:t>följande</w:t>
      </w:r>
      <w:proofErr w:type="spellEnd"/>
      <w:r w:rsidR="00D72448" w:rsidRPr="00762390">
        <w:rPr>
          <w:rFonts w:ascii="Calibri" w:hAnsi="Calibri" w:cs="Calibri"/>
          <w:sz w:val="22"/>
          <w:szCs w:val="22"/>
          <w:lang w:val="en-US"/>
        </w:rPr>
        <w:t xml:space="preserve"> </w:t>
      </w:r>
      <w:proofErr w:type="spellStart"/>
      <w:r w:rsidR="00D72448" w:rsidRPr="00762390">
        <w:rPr>
          <w:rFonts w:ascii="Calibri" w:hAnsi="Calibri" w:cs="Calibri"/>
          <w:sz w:val="22"/>
          <w:szCs w:val="22"/>
          <w:lang w:val="en-US"/>
        </w:rPr>
        <w:t>villkor</w:t>
      </w:r>
      <w:proofErr w:type="spellEnd"/>
      <w:r w:rsidR="00D72448" w:rsidRPr="00762390">
        <w:rPr>
          <w:rFonts w:ascii="Calibri" w:hAnsi="Calibri" w:cs="Calibri"/>
          <w:sz w:val="22"/>
          <w:szCs w:val="22"/>
          <w:lang w:val="en-US"/>
        </w:rPr>
        <w:t xml:space="preserve"> </w:t>
      </w:r>
      <w:proofErr w:type="spellStart"/>
      <w:r w:rsidR="00D72448" w:rsidRPr="00762390">
        <w:rPr>
          <w:rFonts w:ascii="Calibri" w:hAnsi="Calibri" w:cs="Calibri"/>
          <w:sz w:val="22"/>
          <w:szCs w:val="22"/>
          <w:lang w:val="en-US"/>
        </w:rPr>
        <w:t>gälla</w:t>
      </w:r>
      <w:proofErr w:type="spellEnd"/>
      <w:r w:rsidR="00D72448" w:rsidRPr="00762390">
        <w:rPr>
          <w:rFonts w:ascii="Calibri" w:hAnsi="Calibri" w:cs="Calibri"/>
          <w:sz w:val="22"/>
          <w:szCs w:val="22"/>
          <w:lang w:val="en-US"/>
        </w:rPr>
        <w:t>.</w:t>
      </w:r>
    </w:p>
    <w:p w14:paraId="0365F4F4" w14:textId="0A3C2341" w:rsidR="008D7E01" w:rsidRPr="00BA0628" w:rsidRDefault="00F479D7" w:rsidP="008D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Calibri" w:hAnsi="Calibri" w:cs="Calibri"/>
          <w:i/>
          <w:iCs/>
          <w:sz w:val="22"/>
          <w:szCs w:val="22"/>
          <w:lang w:val="en-US"/>
        </w:rPr>
      </w:pPr>
      <w:r w:rsidRPr="00762390">
        <w:rPr>
          <w:rFonts w:ascii="Calibri" w:hAnsi="Calibri" w:cs="Calibri"/>
          <w:i/>
          <w:iCs/>
          <w:sz w:val="22"/>
          <w:szCs w:val="22"/>
          <w:lang w:val="en-US"/>
        </w:rPr>
        <w:t xml:space="preserve">The board of directors proposes that the meeting resolves to approve the board of directors' decision from </w:t>
      </w:r>
      <w:r w:rsidR="00762390" w:rsidRPr="00762390">
        <w:rPr>
          <w:rFonts w:ascii="Calibri" w:hAnsi="Calibri" w:cs="Calibri"/>
          <w:i/>
          <w:iCs/>
          <w:sz w:val="22"/>
          <w:szCs w:val="22"/>
          <w:lang w:val="en-US"/>
        </w:rPr>
        <w:t>October 21, 2025</w:t>
      </w:r>
      <w:r w:rsidRPr="00762390">
        <w:rPr>
          <w:rFonts w:ascii="Calibri" w:hAnsi="Calibri" w:cs="Calibri"/>
          <w:i/>
          <w:iCs/>
          <w:sz w:val="22"/>
          <w:szCs w:val="22"/>
          <w:lang w:val="en-US"/>
        </w:rPr>
        <w:t xml:space="preserve"> to issue a </w:t>
      </w:r>
      <w:r w:rsidR="008D7E01" w:rsidRPr="00762390">
        <w:rPr>
          <w:rFonts w:ascii="Calibri" w:hAnsi="Calibri" w:cs="Calibri"/>
          <w:i/>
          <w:iCs/>
          <w:sz w:val="22"/>
          <w:szCs w:val="22"/>
          <w:lang w:val="en-US"/>
        </w:rPr>
        <w:t xml:space="preserve">maximum of 5,555,554 warrants of series TO6, entitling to the subscription of a maximum of 5,555,554 shares in the Company, entailing an increase of the share capital upon full utilization by a maximum of SEK 555,555.40. The board </w:t>
      </w:r>
      <w:r w:rsidR="00762390">
        <w:rPr>
          <w:rFonts w:ascii="Calibri" w:hAnsi="Calibri" w:cs="Calibri"/>
          <w:i/>
          <w:iCs/>
          <w:sz w:val="22"/>
          <w:szCs w:val="22"/>
          <w:lang w:val="en-US"/>
        </w:rPr>
        <w:t>has</w:t>
      </w:r>
      <w:r w:rsidR="00762390" w:rsidRPr="00762390">
        <w:rPr>
          <w:rFonts w:ascii="Calibri" w:hAnsi="Calibri" w:cs="Calibri"/>
          <w:i/>
          <w:iCs/>
          <w:sz w:val="22"/>
          <w:szCs w:val="22"/>
          <w:lang w:val="en-US"/>
        </w:rPr>
        <w:t xml:space="preserve"> </w:t>
      </w:r>
      <w:r w:rsidR="00C75A17" w:rsidRPr="00762390">
        <w:rPr>
          <w:rFonts w:ascii="Calibri" w:hAnsi="Calibri" w:cs="Calibri"/>
          <w:i/>
          <w:iCs/>
          <w:sz w:val="22"/>
          <w:szCs w:val="22"/>
          <w:lang w:val="en-US"/>
        </w:rPr>
        <w:t>further decided</w:t>
      </w:r>
      <w:r w:rsidR="008D7E01" w:rsidRPr="00762390">
        <w:rPr>
          <w:rFonts w:ascii="Calibri" w:hAnsi="Calibri" w:cs="Calibri"/>
          <w:i/>
          <w:iCs/>
          <w:sz w:val="22"/>
          <w:szCs w:val="22"/>
          <w:lang w:val="en-US"/>
        </w:rPr>
        <w:t xml:space="preserve"> the general meeting's approval of the board's decision according to </w:t>
      </w:r>
      <w:proofErr w:type="gramStart"/>
      <w:r w:rsidR="00C75A17" w:rsidRPr="00762390">
        <w:rPr>
          <w:rFonts w:ascii="Calibri" w:hAnsi="Calibri" w:cs="Calibri"/>
          <w:i/>
          <w:iCs/>
          <w:sz w:val="22"/>
          <w:szCs w:val="22"/>
          <w:lang w:val="en-US"/>
        </w:rPr>
        <w:t>this Clause</w:t>
      </w:r>
      <w:proofErr w:type="gramEnd"/>
      <w:r w:rsidR="00C75A17" w:rsidRPr="00762390">
        <w:rPr>
          <w:rFonts w:ascii="Calibri" w:hAnsi="Calibri" w:cs="Calibri"/>
          <w:i/>
          <w:iCs/>
          <w:sz w:val="22"/>
          <w:szCs w:val="22"/>
          <w:lang w:val="en-US"/>
        </w:rPr>
        <w:t xml:space="preserve"> 6</w:t>
      </w:r>
      <w:r w:rsidR="008D7E01" w:rsidRPr="00762390">
        <w:rPr>
          <w:rFonts w:ascii="Calibri" w:hAnsi="Calibri" w:cs="Calibri"/>
          <w:i/>
          <w:iCs/>
          <w:sz w:val="22"/>
          <w:szCs w:val="22"/>
          <w:lang w:val="en-US"/>
        </w:rPr>
        <w:t xml:space="preserve"> and the general meeting's decision on transfer of warrants according to Clause </w:t>
      </w:r>
      <w:r w:rsidR="00C75A17" w:rsidRPr="00762390">
        <w:rPr>
          <w:rFonts w:ascii="Calibri" w:hAnsi="Calibri" w:cs="Calibri"/>
          <w:i/>
          <w:iCs/>
          <w:sz w:val="22"/>
          <w:szCs w:val="22"/>
          <w:lang w:val="en-US"/>
        </w:rPr>
        <w:t>7</w:t>
      </w:r>
      <w:r w:rsidR="008D7E01" w:rsidRPr="00762390">
        <w:rPr>
          <w:rFonts w:ascii="Calibri" w:hAnsi="Calibri" w:cs="Calibri"/>
          <w:i/>
          <w:iCs/>
          <w:sz w:val="22"/>
          <w:szCs w:val="22"/>
          <w:lang w:val="en-US"/>
        </w:rPr>
        <w:t xml:space="preserve"> below shall be made as one decision and are thus conditional on each other.</w:t>
      </w:r>
      <w:r w:rsidR="00160C16" w:rsidRPr="00762390">
        <w:rPr>
          <w:rFonts w:ascii="Calibri" w:hAnsi="Calibri" w:cs="Calibri"/>
          <w:i/>
          <w:iCs/>
          <w:sz w:val="22"/>
          <w:szCs w:val="22"/>
          <w:lang w:val="en-US"/>
        </w:rPr>
        <w:t xml:space="preserve"> </w:t>
      </w:r>
      <w:r w:rsidR="00160C16" w:rsidRPr="00BA0628">
        <w:rPr>
          <w:rFonts w:ascii="Calibri" w:hAnsi="Calibri" w:cs="Calibri"/>
          <w:i/>
          <w:iCs/>
          <w:sz w:val="22"/>
          <w:szCs w:val="22"/>
          <w:lang w:val="en-US"/>
        </w:rPr>
        <w:t>The following conditions shall also apply to the decision.</w:t>
      </w:r>
    </w:p>
    <w:p w14:paraId="7972DE99" w14:textId="77777777" w:rsidR="008D7E01" w:rsidRPr="00BA0628" w:rsidRDefault="008D7E01" w:rsidP="008D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Calibri" w:hAnsi="Calibri" w:cs="Calibri"/>
          <w:sz w:val="22"/>
          <w:szCs w:val="22"/>
          <w:lang w:val="en-US"/>
        </w:rPr>
      </w:pPr>
    </w:p>
    <w:p w14:paraId="46D288FF" w14:textId="77777777" w:rsidR="008D7E01" w:rsidRPr="00762390" w:rsidRDefault="008D7E01" w:rsidP="008D7E01">
      <w:pPr>
        <w:pStyle w:val="Liststyck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left="426" w:hanging="426"/>
        <w:jc w:val="both"/>
        <w:rPr>
          <w:rFonts w:ascii="Calibri" w:hAnsi="Calibri" w:cs="Calibri"/>
          <w:color w:val="000000"/>
          <w:sz w:val="22"/>
          <w:szCs w:val="22"/>
          <w:lang w:val="sv-SE"/>
        </w:rPr>
      </w:pPr>
      <w:r w:rsidRPr="00762390">
        <w:rPr>
          <w:rFonts w:ascii="Calibri" w:hAnsi="Calibri" w:cs="Calibri"/>
          <w:color w:val="000000"/>
          <w:sz w:val="22"/>
          <w:szCs w:val="22"/>
          <w:lang w:val="sv-SE"/>
        </w:rPr>
        <w:t xml:space="preserve">Rätten att teckna teckningsoptionerna av serie TO6 ska, med avvikelse från aktieägarnas företrädesrätt, tillfalla </w:t>
      </w:r>
      <w:r w:rsidRPr="00762390">
        <w:rPr>
          <w:rFonts w:ascii="Calibri" w:hAnsi="Calibri" w:cs="Calibri"/>
          <w:sz w:val="22"/>
          <w:szCs w:val="22"/>
          <w:lang w:val="sv-SE"/>
        </w:rPr>
        <w:t>Bolaget med en åtföljande rätt att överlåta teckningsoptionerna till EXT Mine Projects AB (”</w:t>
      </w:r>
      <w:r w:rsidRPr="00762390">
        <w:rPr>
          <w:rFonts w:ascii="Calibri" w:hAnsi="Calibri" w:cs="Calibri"/>
          <w:b/>
          <w:bCs/>
          <w:sz w:val="22"/>
          <w:szCs w:val="22"/>
          <w:lang w:val="sv-SE"/>
        </w:rPr>
        <w:t>EXT</w:t>
      </w:r>
      <w:r w:rsidRPr="00762390">
        <w:rPr>
          <w:rFonts w:ascii="Calibri" w:hAnsi="Calibri" w:cs="Calibri"/>
          <w:sz w:val="22"/>
          <w:szCs w:val="22"/>
          <w:lang w:val="sv-SE"/>
        </w:rPr>
        <w:t>”)</w:t>
      </w:r>
      <w:r w:rsidRPr="00762390">
        <w:rPr>
          <w:rFonts w:ascii="Calibri" w:hAnsi="Calibri" w:cs="Calibri"/>
          <w:iCs/>
          <w:sz w:val="22"/>
          <w:szCs w:val="22"/>
          <w:lang w:val="sv-SE"/>
        </w:rPr>
        <w:t>.</w:t>
      </w:r>
    </w:p>
    <w:p w14:paraId="15DE6A64" w14:textId="77777777" w:rsidR="008D7E01" w:rsidRPr="00762390" w:rsidRDefault="008D7E01" w:rsidP="008D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26"/>
        <w:jc w:val="both"/>
        <w:rPr>
          <w:rFonts w:ascii="Calibri" w:hAnsi="Calibri" w:cs="Calibri"/>
          <w:i/>
          <w:iCs/>
          <w:sz w:val="22"/>
          <w:szCs w:val="22"/>
          <w:lang w:val="en-US"/>
        </w:rPr>
      </w:pPr>
      <w:r w:rsidRPr="00762390">
        <w:rPr>
          <w:rFonts w:ascii="Calibri" w:hAnsi="Calibri" w:cs="Calibri"/>
          <w:i/>
          <w:iCs/>
          <w:sz w:val="22"/>
          <w:szCs w:val="22"/>
          <w:lang w:val="en-US"/>
        </w:rPr>
        <w:t>The right to subscribe for the warrants of series TO6 shall, with deviation from the shareholders' pre-emptive right, accrue the Company with an accompanying right to transfer the warrants to EXT Mine Projects AB (”</w:t>
      </w:r>
      <w:r w:rsidRPr="00762390">
        <w:rPr>
          <w:rFonts w:ascii="Calibri" w:hAnsi="Calibri" w:cs="Calibri"/>
          <w:b/>
          <w:bCs/>
          <w:i/>
          <w:iCs/>
          <w:sz w:val="22"/>
          <w:szCs w:val="22"/>
          <w:lang w:val="en-US"/>
        </w:rPr>
        <w:t>EXT</w:t>
      </w:r>
      <w:r w:rsidRPr="00762390">
        <w:rPr>
          <w:rFonts w:ascii="Calibri" w:hAnsi="Calibri" w:cs="Calibri"/>
          <w:i/>
          <w:iCs/>
          <w:sz w:val="22"/>
          <w:szCs w:val="22"/>
          <w:lang w:val="en-US"/>
        </w:rPr>
        <w:t>”).</w:t>
      </w:r>
    </w:p>
    <w:p w14:paraId="10A44A4F" w14:textId="77777777" w:rsidR="008D7E01" w:rsidRPr="00160C16" w:rsidRDefault="008D7E01" w:rsidP="008D7E01">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26" w:hanging="426"/>
        <w:jc w:val="both"/>
        <w:rPr>
          <w:rFonts w:ascii="Calibri" w:hAnsi="Calibri" w:cs="Calibri"/>
          <w:color w:val="000000"/>
          <w:sz w:val="22"/>
          <w:szCs w:val="22"/>
        </w:rPr>
      </w:pPr>
    </w:p>
    <w:p w14:paraId="09C37339" w14:textId="77777777" w:rsidR="008D7E01" w:rsidRPr="00160C16" w:rsidRDefault="008D7E01" w:rsidP="008D7E01">
      <w:pPr>
        <w:pStyle w:val="Liststyck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left="426" w:hanging="426"/>
        <w:jc w:val="both"/>
        <w:rPr>
          <w:rFonts w:ascii="Calibri" w:hAnsi="Calibri" w:cs="Calibri"/>
          <w:color w:val="000000"/>
          <w:sz w:val="22"/>
          <w:szCs w:val="22"/>
        </w:rPr>
      </w:pPr>
      <w:proofErr w:type="spellStart"/>
      <w:r w:rsidRPr="00160C16">
        <w:rPr>
          <w:rFonts w:ascii="Calibri" w:hAnsi="Calibri" w:cs="Calibri"/>
          <w:color w:val="000000"/>
          <w:sz w:val="22"/>
          <w:szCs w:val="22"/>
        </w:rPr>
        <w:t>Överteckning</w:t>
      </w:r>
      <w:proofErr w:type="spellEnd"/>
      <w:r w:rsidRPr="00160C16">
        <w:rPr>
          <w:rFonts w:ascii="Calibri" w:hAnsi="Calibri" w:cs="Calibri"/>
          <w:color w:val="000000"/>
          <w:sz w:val="22"/>
          <w:szCs w:val="22"/>
        </w:rPr>
        <w:t xml:space="preserve"> </w:t>
      </w:r>
      <w:proofErr w:type="spellStart"/>
      <w:r w:rsidRPr="00160C16">
        <w:rPr>
          <w:rFonts w:ascii="Calibri" w:hAnsi="Calibri" w:cs="Calibri"/>
          <w:color w:val="000000"/>
          <w:sz w:val="22"/>
          <w:szCs w:val="22"/>
        </w:rPr>
        <w:t>kan</w:t>
      </w:r>
      <w:proofErr w:type="spellEnd"/>
      <w:r w:rsidRPr="00160C16">
        <w:rPr>
          <w:rFonts w:ascii="Calibri" w:hAnsi="Calibri" w:cs="Calibri"/>
          <w:color w:val="000000"/>
          <w:sz w:val="22"/>
          <w:szCs w:val="22"/>
        </w:rPr>
        <w:t xml:space="preserve"> </w:t>
      </w:r>
      <w:proofErr w:type="spellStart"/>
      <w:r w:rsidRPr="00160C16">
        <w:rPr>
          <w:rFonts w:ascii="Calibri" w:hAnsi="Calibri" w:cs="Calibri"/>
          <w:color w:val="000000"/>
          <w:sz w:val="22"/>
          <w:szCs w:val="22"/>
        </w:rPr>
        <w:t>inte</w:t>
      </w:r>
      <w:proofErr w:type="spellEnd"/>
      <w:r w:rsidRPr="00160C16">
        <w:rPr>
          <w:rFonts w:ascii="Calibri" w:hAnsi="Calibri" w:cs="Calibri"/>
          <w:color w:val="000000"/>
          <w:sz w:val="22"/>
          <w:szCs w:val="22"/>
        </w:rPr>
        <w:t xml:space="preserve"> </w:t>
      </w:r>
      <w:proofErr w:type="spellStart"/>
      <w:r w:rsidRPr="00160C16">
        <w:rPr>
          <w:rFonts w:ascii="Calibri" w:hAnsi="Calibri" w:cs="Calibri"/>
          <w:color w:val="000000"/>
          <w:sz w:val="22"/>
          <w:szCs w:val="22"/>
        </w:rPr>
        <w:t>ske</w:t>
      </w:r>
      <w:proofErr w:type="spellEnd"/>
      <w:r w:rsidRPr="00160C16">
        <w:rPr>
          <w:rFonts w:ascii="Calibri" w:hAnsi="Calibri" w:cs="Calibri"/>
          <w:color w:val="000000"/>
          <w:sz w:val="22"/>
          <w:szCs w:val="22"/>
        </w:rPr>
        <w:t>.</w:t>
      </w:r>
    </w:p>
    <w:p w14:paraId="2A27FFDD" w14:textId="77777777" w:rsidR="008D7E01" w:rsidRPr="00160C16" w:rsidRDefault="008D7E01" w:rsidP="008D7E01">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26"/>
        <w:jc w:val="both"/>
        <w:rPr>
          <w:rFonts w:ascii="Calibri" w:hAnsi="Calibri" w:cs="Calibri"/>
          <w:i/>
          <w:iCs/>
          <w:sz w:val="22"/>
          <w:szCs w:val="22"/>
        </w:rPr>
      </w:pPr>
      <w:r w:rsidRPr="00160C16">
        <w:rPr>
          <w:rFonts w:ascii="Calibri" w:hAnsi="Calibri" w:cs="Calibri"/>
          <w:i/>
          <w:iCs/>
          <w:sz w:val="22"/>
          <w:szCs w:val="22"/>
        </w:rPr>
        <w:t>Over-subscription shall not be permitted.</w:t>
      </w:r>
    </w:p>
    <w:p w14:paraId="5B8F96ED" w14:textId="77777777" w:rsidR="008D7E01" w:rsidRPr="00160C16" w:rsidRDefault="008D7E01" w:rsidP="008D7E01">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26"/>
        <w:jc w:val="both"/>
        <w:rPr>
          <w:rFonts w:ascii="Calibri" w:hAnsi="Calibri" w:cs="Calibri"/>
          <w:color w:val="000000"/>
          <w:sz w:val="22"/>
          <w:szCs w:val="22"/>
        </w:rPr>
      </w:pPr>
    </w:p>
    <w:p w14:paraId="2E9DF38A" w14:textId="77777777" w:rsidR="008D7E01" w:rsidRPr="00160C16" w:rsidRDefault="008D7E01" w:rsidP="008D7E01">
      <w:pPr>
        <w:pStyle w:val="Liststyck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left="426" w:hanging="426"/>
        <w:jc w:val="both"/>
        <w:rPr>
          <w:rFonts w:ascii="Calibri" w:hAnsi="Calibri" w:cs="Calibri"/>
          <w:color w:val="000000"/>
          <w:sz w:val="22"/>
          <w:szCs w:val="22"/>
        </w:rPr>
      </w:pPr>
      <w:proofErr w:type="spellStart"/>
      <w:r w:rsidRPr="00160C16">
        <w:rPr>
          <w:rFonts w:ascii="Calibri" w:hAnsi="Calibri" w:cs="Calibri"/>
          <w:color w:val="000000"/>
          <w:sz w:val="22"/>
          <w:szCs w:val="22"/>
        </w:rPr>
        <w:t>Teckningsoptionerna</w:t>
      </w:r>
      <w:proofErr w:type="spellEnd"/>
      <w:r w:rsidRPr="00160C16">
        <w:rPr>
          <w:rFonts w:ascii="Calibri" w:hAnsi="Calibri" w:cs="Calibri"/>
          <w:color w:val="000000"/>
          <w:sz w:val="22"/>
          <w:szCs w:val="22"/>
        </w:rPr>
        <w:t xml:space="preserve"> </w:t>
      </w:r>
      <w:proofErr w:type="spellStart"/>
      <w:r w:rsidRPr="00160C16">
        <w:rPr>
          <w:rFonts w:ascii="Calibri" w:hAnsi="Calibri" w:cs="Calibri"/>
          <w:color w:val="000000"/>
          <w:sz w:val="22"/>
          <w:szCs w:val="22"/>
        </w:rPr>
        <w:t>utges</w:t>
      </w:r>
      <w:proofErr w:type="spellEnd"/>
      <w:r w:rsidRPr="00160C16">
        <w:rPr>
          <w:rFonts w:ascii="Calibri" w:hAnsi="Calibri" w:cs="Calibri"/>
          <w:color w:val="000000"/>
          <w:sz w:val="22"/>
          <w:szCs w:val="22"/>
        </w:rPr>
        <w:t xml:space="preserve"> </w:t>
      </w:r>
      <w:proofErr w:type="spellStart"/>
      <w:r w:rsidRPr="00160C16">
        <w:rPr>
          <w:rFonts w:ascii="Calibri" w:hAnsi="Calibri" w:cs="Calibri"/>
          <w:color w:val="000000"/>
          <w:sz w:val="22"/>
          <w:szCs w:val="22"/>
        </w:rPr>
        <w:t>vederlagsfritt</w:t>
      </w:r>
      <w:proofErr w:type="spellEnd"/>
      <w:r w:rsidRPr="00160C16">
        <w:rPr>
          <w:rFonts w:ascii="Calibri" w:hAnsi="Calibri" w:cs="Calibri"/>
          <w:color w:val="000000"/>
          <w:sz w:val="22"/>
          <w:szCs w:val="22"/>
        </w:rPr>
        <w:t xml:space="preserve">. </w:t>
      </w:r>
    </w:p>
    <w:p w14:paraId="73DAB7DE" w14:textId="0AACC978" w:rsidR="008D7E01" w:rsidRDefault="008D7E01" w:rsidP="00805E94">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26"/>
        <w:jc w:val="both"/>
        <w:rPr>
          <w:rFonts w:ascii="Calibri" w:hAnsi="Calibri" w:cs="Calibri"/>
          <w:i/>
          <w:iCs/>
          <w:sz w:val="22"/>
          <w:szCs w:val="22"/>
        </w:rPr>
      </w:pPr>
      <w:r w:rsidRPr="00160C16">
        <w:rPr>
          <w:rFonts w:ascii="Calibri" w:hAnsi="Calibri" w:cs="Calibri"/>
          <w:i/>
          <w:iCs/>
          <w:sz w:val="22"/>
          <w:szCs w:val="22"/>
        </w:rPr>
        <w:t>The warrants are issued free of charge.</w:t>
      </w:r>
    </w:p>
    <w:p w14:paraId="6C970433" w14:textId="77777777" w:rsidR="00805E94" w:rsidRPr="00805E94" w:rsidRDefault="00805E94" w:rsidP="00805E94">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26"/>
        <w:jc w:val="both"/>
        <w:rPr>
          <w:rFonts w:ascii="Calibri" w:hAnsi="Calibri" w:cs="Calibri"/>
          <w:i/>
          <w:iCs/>
          <w:color w:val="000000"/>
          <w:sz w:val="22"/>
          <w:szCs w:val="22"/>
        </w:rPr>
      </w:pPr>
    </w:p>
    <w:p w14:paraId="28CCB729" w14:textId="402120E5" w:rsidR="008D7E01" w:rsidRPr="00BA0628" w:rsidRDefault="008D7E01" w:rsidP="008D7E01">
      <w:pPr>
        <w:pStyle w:val="Liststyck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left="426" w:hanging="426"/>
        <w:jc w:val="both"/>
        <w:rPr>
          <w:rFonts w:ascii="Calibri" w:hAnsi="Calibri" w:cs="Calibri"/>
          <w:color w:val="000000"/>
          <w:sz w:val="22"/>
          <w:szCs w:val="22"/>
          <w:lang w:val="sv-SE"/>
        </w:rPr>
      </w:pPr>
      <w:r w:rsidRPr="00762390">
        <w:rPr>
          <w:rFonts w:ascii="Calibri" w:hAnsi="Calibri" w:cs="Calibri"/>
          <w:color w:val="000000"/>
          <w:sz w:val="22"/>
          <w:szCs w:val="22"/>
          <w:lang w:val="sv-SE"/>
        </w:rPr>
        <w:t xml:space="preserve">Teckning av teckningsoptioner ska ske på sparat teckningslista senast </w:t>
      </w:r>
      <w:r w:rsidR="00762390" w:rsidRPr="00762390">
        <w:rPr>
          <w:rFonts w:ascii="Calibri" w:hAnsi="Calibri" w:cs="Calibri"/>
          <w:color w:val="000000"/>
          <w:sz w:val="22"/>
          <w:szCs w:val="22"/>
          <w:lang w:val="sv-SE"/>
        </w:rPr>
        <w:t>4 november 2025</w:t>
      </w:r>
      <w:r w:rsidRPr="00762390">
        <w:rPr>
          <w:rFonts w:ascii="Calibri" w:hAnsi="Calibri" w:cs="Calibri"/>
          <w:color w:val="000000"/>
          <w:sz w:val="22"/>
          <w:szCs w:val="22"/>
          <w:lang w:val="sv-SE"/>
        </w:rPr>
        <w:t xml:space="preserve">. </w:t>
      </w:r>
      <w:r w:rsidRPr="00BA0628">
        <w:rPr>
          <w:rFonts w:ascii="Calibri" w:hAnsi="Calibri" w:cs="Calibri"/>
          <w:color w:val="000000"/>
          <w:sz w:val="22"/>
          <w:szCs w:val="22"/>
          <w:lang w:val="sv-SE"/>
        </w:rPr>
        <w:t>Styrelsen äger dock rätt att förlänga tiden för teckning</w:t>
      </w:r>
      <w:r w:rsidRPr="00BA0628">
        <w:rPr>
          <w:rFonts w:ascii="Calibri" w:hAnsi="Calibri" w:cs="Calibri"/>
          <w:sz w:val="22"/>
          <w:szCs w:val="22"/>
          <w:lang w:val="sv-SE"/>
        </w:rPr>
        <w:t>.</w:t>
      </w:r>
    </w:p>
    <w:p w14:paraId="509B6EF1" w14:textId="51F7D871" w:rsidR="008D7E01" w:rsidRPr="00160C16" w:rsidRDefault="008D7E01" w:rsidP="008D7E01">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26"/>
        <w:jc w:val="both"/>
        <w:rPr>
          <w:rFonts w:ascii="Calibri" w:hAnsi="Calibri" w:cs="Calibri"/>
          <w:i/>
          <w:iCs/>
          <w:sz w:val="22"/>
          <w:szCs w:val="22"/>
        </w:rPr>
      </w:pPr>
      <w:r w:rsidRPr="00160C16">
        <w:rPr>
          <w:rFonts w:ascii="Calibri" w:hAnsi="Calibri" w:cs="Calibri"/>
          <w:i/>
          <w:iCs/>
          <w:sz w:val="22"/>
          <w:szCs w:val="22"/>
        </w:rPr>
        <w:t xml:space="preserve">The warrants must be subscribed for on a separate subscription list by not later than </w:t>
      </w:r>
      <w:r w:rsidR="00762390" w:rsidRPr="00762390">
        <w:rPr>
          <w:rFonts w:ascii="Calibri" w:hAnsi="Calibri" w:cs="Calibri"/>
          <w:i/>
          <w:iCs/>
          <w:sz w:val="22"/>
          <w:szCs w:val="22"/>
        </w:rPr>
        <w:t>November 4, 2025</w:t>
      </w:r>
      <w:r w:rsidRPr="00160C16">
        <w:rPr>
          <w:rFonts w:ascii="Calibri" w:hAnsi="Calibri" w:cs="Calibri"/>
          <w:i/>
          <w:iCs/>
          <w:sz w:val="22"/>
          <w:szCs w:val="22"/>
        </w:rPr>
        <w:t>. However, the board has the right to extend the period for subscription.</w:t>
      </w:r>
    </w:p>
    <w:p w14:paraId="75FC0597" w14:textId="77777777" w:rsidR="008D7E01" w:rsidRPr="00762390" w:rsidRDefault="008D7E01" w:rsidP="008D7E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Calibri" w:hAnsi="Calibri" w:cs="Calibri"/>
          <w:sz w:val="22"/>
          <w:szCs w:val="22"/>
          <w:lang w:val="en-US"/>
        </w:rPr>
      </w:pPr>
    </w:p>
    <w:p w14:paraId="606F5D3A" w14:textId="77777777" w:rsidR="008D7E01" w:rsidRPr="00762390" w:rsidRDefault="008D7E01" w:rsidP="008D7E01">
      <w:pPr>
        <w:pStyle w:val="Liststycke"/>
        <w:numPr>
          <w:ilvl w:val="0"/>
          <w:numId w:val="6"/>
        </w:numPr>
        <w:spacing w:after="0" w:line="264" w:lineRule="auto"/>
        <w:ind w:left="426" w:hanging="426"/>
        <w:jc w:val="both"/>
        <w:rPr>
          <w:rFonts w:ascii="Calibri" w:hAnsi="Calibri" w:cs="Calibri"/>
          <w:i/>
          <w:iCs/>
          <w:color w:val="000000"/>
          <w:sz w:val="22"/>
          <w:szCs w:val="22"/>
          <w:lang w:val="sv-SE"/>
        </w:rPr>
      </w:pPr>
      <w:r w:rsidRPr="00762390">
        <w:rPr>
          <w:rFonts w:ascii="Calibri" w:hAnsi="Calibri" w:cs="Calibri"/>
          <w:sz w:val="22"/>
          <w:szCs w:val="22"/>
          <w:lang w:val="sv-SE"/>
        </w:rPr>
        <w:lastRenderedPageBreak/>
        <w:t>Varje teckningsoption av serie TO6 ska medföra en rätt att teckna en (1) ny aktie i Bolaget till en teckningskurs motsvarande 1,48 SEK per aktie.</w:t>
      </w:r>
    </w:p>
    <w:p w14:paraId="78470FEA" w14:textId="54FFF72F" w:rsidR="008D7E01" w:rsidRDefault="008D7E01" w:rsidP="00EC26C4">
      <w:pPr>
        <w:pStyle w:val="Liststycke"/>
        <w:spacing w:after="0" w:line="264" w:lineRule="auto"/>
        <w:ind w:left="425"/>
        <w:contextualSpacing w:val="0"/>
        <w:jc w:val="both"/>
        <w:rPr>
          <w:rFonts w:ascii="Calibri" w:hAnsi="Calibri" w:cs="Calibri"/>
          <w:i/>
          <w:iCs/>
          <w:color w:val="000000"/>
          <w:sz w:val="22"/>
          <w:szCs w:val="22"/>
        </w:rPr>
      </w:pPr>
      <w:r w:rsidRPr="00160C16">
        <w:rPr>
          <w:rFonts w:ascii="Calibri" w:hAnsi="Calibri" w:cs="Calibri"/>
          <w:i/>
          <w:iCs/>
          <w:color w:val="000000"/>
          <w:sz w:val="22"/>
          <w:szCs w:val="22"/>
        </w:rPr>
        <w:t xml:space="preserve">Each warrant of series TO6 shall entail a right to subscribe for one (1) new share in the Company at a subscription price corresponding to 1.48 SEK per share. </w:t>
      </w:r>
    </w:p>
    <w:p w14:paraId="744059A7" w14:textId="77777777" w:rsidR="00EC26C4" w:rsidRPr="00805E94" w:rsidRDefault="00EC26C4" w:rsidP="00EC26C4">
      <w:pPr>
        <w:pStyle w:val="Liststycke"/>
        <w:spacing w:after="0" w:line="264" w:lineRule="auto"/>
        <w:ind w:left="425"/>
        <w:contextualSpacing w:val="0"/>
        <w:jc w:val="both"/>
        <w:rPr>
          <w:rFonts w:ascii="Calibri" w:hAnsi="Calibri" w:cs="Calibri"/>
          <w:i/>
          <w:iCs/>
          <w:color w:val="000000"/>
          <w:sz w:val="22"/>
          <w:szCs w:val="22"/>
        </w:rPr>
      </w:pPr>
    </w:p>
    <w:p w14:paraId="593A7F6A" w14:textId="77777777" w:rsidR="008D7E01" w:rsidRPr="00762390" w:rsidRDefault="008D7E01" w:rsidP="00EC26C4">
      <w:pPr>
        <w:pStyle w:val="Liststycke"/>
        <w:numPr>
          <w:ilvl w:val="0"/>
          <w:numId w:val="6"/>
        </w:numPr>
        <w:spacing w:after="0" w:line="264" w:lineRule="auto"/>
        <w:ind w:left="425" w:hanging="426"/>
        <w:jc w:val="both"/>
        <w:rPr>
          <w:rFonts w:ascii="Calibri" w:hAnsi="Calibri" w:cs="Calibri"/>
          <w:sz w:val="22"/>
          <w:szCs w:val="22"/>
          <w:lang w:val="sv-SE"/>
        </w:rPr>
      </w:pPr>
      <w:r w:rsidRPr="00762390">
        <w:rPr>
          <w:rFonts w:ascii="Calibri" w:hAnsi="Calibri" w:cs="Calibri"/>
          <w:sz w:val="22"/>
          <w:szCs w:val="22"/>
          <w:lang w:val="sv-SE"/>
        </w:rPr>
        <w:t>Teckning av aktier i Bolaget med stöd av teckningsoptioner av serie TO6 kan äga rum under perioden från och med den 24 juli 2026 till och med den 24 september 2027.</w:t>
      </w:r>
    </w:p>
    <w:p w14:paraId="3914A024" w14:textId="1467ECAF" w:rsidR="008D7E01" w:rsidRDefault="008D7E01" w:rsidP="00EC26C4">
      <w:pPr>
        <w:pStyle w:val="Liststycke"/>
        <w:spacing w:after="0" w:line="264" w:lineRule="auto"/>
        <w:ind w:left="425"/>
        <w:contextualSpacing w:val="0"/>
        <w:jc w:val="both"/>
        <w:rPr>
          <w:rFonts w:ascii="Calibri" w:hAnsi="Calibri" w:cs="Calibri"/>
          <w:i/>
          <w:iCs/>
          <w:sz w:val="22"/>
          <w:szCs w:val="22"/>
        </w:rPr>
      </w:pPr>
      <w:r w:rsidRPr="00160C16">
        <w:rPr>
          <w:rFonts w:ascii="Calibri" w:hAnsi="Calibri" w:cs="Calibri"/>
          <w:i/>
          <w:iCs/>
          <w:sz w:val="22"/>
          <w:szCs w:val="22"/>
        </w:rPr>
        <w:t>Subscription of shares in the Company with the support of warrants of series TO6 can take place during the period from July 24, 2026, up to and including September 24, 2027</w:t>
      </w:r>
      <w:r w:rsidR="00805E94">
        <w:rPr>
          <w:rFonts w:ascii="Calibri" w:hAnsi="Calibri" w:cs="Calibri"/>
          <w:i/>
          <w:iCs/>
          <w:sz w:val="22"/>
          <w:szCs w:val="22"/>
        </w:rPr>
        <w:t>.</w:t>
      </w:r>
    </w:p>
    <w:p w14:paraId="485A5702" w14:textId="77777777" w:rsidR="00EC26C4" w:rsidRPr="00805E94" w:rsidRDefault="00EC26C4" w:rsidP="00EC26C4">
      <w:pPr>
        <w:pStyle w:val="Liststycke"/>
        <w:spacing w:after="0" w:line="264" w:lineRule="auto"/>
        <w:ind w:left="425"/>
        <w:contextualSpacing w:val="0"/>
        <w:jc w:val="both"/>
        <w:rPr>
          <w:rFonts w:ascii="Calibri" w:hAnsi="Calibri" w:cs="Calibri"/>
          <w:i/>
          <w:iCs/>
          <w:sz w:val="22"/>
          <w:szCs w:val="22"/>
        </w:rPr>
      </w:pPr>
    </w:p>
    <w:p w14:paraId="67505D91" w14:textId="24ECE258" w:rsidR="008D7E01" w:rsidRPr="00160C16" w:rsidRDefault="008D7E01" w:rsidP="00EC26C4">
      <w:pPr>
        <w:pStyle w:val="Default"/>
        <w:numPr>
          <w:ilvl w:val="0"/>
          <w:numId w:val="6"/>
        </w:numPr>
        <w:spacing w:line="300" w:lineRule="atLeast"/>
        <w:ind w:left="425" w:hanging="426"/>
        <w:jc w:val="both"/>
        <w:rPr>
          <w:rFonts w:ascii="Calibri" w:hAnsi="Calibri" w:cs="Calibri"/>
          <w:color w:val="auto"/>
          <w:sz w:val="22"/>
          <w:szCs w:val="22"/>
        </w:rPr>
      </w:pPr>
      <w:r w:rsidRPr="00160C16">
        <w:rPr>
          <w:rFonts w:ascii="Calibri" w:hAnsi="Calibri" w:cs="Calibri"/>
          <w:sz w:val="22"/>
          <w:szCs w:val="22"/>
        </w:rPr>
        <w:t xml:space="preserve">Skälet till avvikelsen från aktieägarnas företrädesrätt </w:t>
      </w:r>
      <w:r w:rsidR="007052F2" w:rsidRPr="007052F2">
        <w:rPr>
          <w:rFonts w:ascii="Calibri" w:hAnsi="Calibri" w:cs="Calibri"/>
          <w:sz w:val="22"/>
          <w:szCs w:val="22"/>
        </w:rPr>
        <w:t>är att möjliggöra aktiebaserad ersättning till EXT. Rekryteringen av gruvchef och teknisk ledning för den planerade gruvverksamheten i Joma och Stekenjokk-Levi</w:t>
      </w:r>
      <w:r w:rsidR="007052F2" w:rsidRPr="007052F2" w:rsidDel="00D0722E">
        <w:rPr>
          <w:rFonts w:ascii="Calibri" w:hAnsi="Calibri" w:cs="Calibri"/>
          <w:sz w:val="22"/>
          <w:szCs w:val="22"/>
        </w:rPr>
        <w:t xml:space="preserve"> </w:t>
      </w:r>
      <w:r w:rsidRPr="00160C16">
        <w:rPr>
          <w:rFonts w:ascii="Calibri" w:hAnsi="Calibri" w:cs="Calibri"/>
          <w:sz w:val="22"/>
          <w:szCs w:val="22"/>
        </w:rPr>
        <w:t xml:space="preserve">är ett viktigt steg i uppbyggnaden av koncernens organisation i både Norge och Sverige varvid Bolaget </w:t>
      </w:r>
      <w:r w:rsidRPr="00160C16">
        <w:rPr>
          <w:rFonts w:ascii="Calibri" w:hAnsi="Calibri" w:cs="Calibri"/>
          <w:color w:val="auto"/>
          <w:sz w:val="22"/>
          <w:szCs w:val="22"/>
        </w:rPr>
        <w:t>och dess norska dotterbolag Joma Gruver förstärks med intern, branschledande gruvteknisk kompetens, vilket bedöms som mycket viktigt i den fas som Bolaget nu påbörjar där den planerade gruvverksamheten i Joma och Stekenjokk-Levi under arbetet med förstudien (</w:t>
      </w:r>
      <w:proofErr w:type="spellStart"/>
      <w:r w:rsidRPr="00160C16">
        <w:rPr>
          <w:rFonts w:ascii="Calibri" w:hAnsi="Calibri" w:cs="Calibri"/>
          <w:i/>
          <w:iCs/>
          <w:color w:val="auto"/>
          <w:sz w:val="22"/>
          <w:szCs w:val="22"/>
        </w:rPr>
        <w:t>eng</w:t>
      </w:r>
      <w:proofErr w:type="spellEnd"/>
      <w:r w:rsidRPr="00160C16">
        <w:rPr>
          <w:rFonts w:ascii="Calibri" w:hAnsi="Calibri" w:cs="Calibri"/>
          <w:i/>
          <w:iCs/>
          <w:color w:val="auto"/>
          <w:sz w:val="22"/>
          <w:szCs w:val="22"/>
        </w:rPr>
        <w:t xml:space="preserve">: Pre </w:t>
      </w:r>
      <w:proofErr w:type="spellStart"/>
      <w:r w:rsidRPr="00160C16">
        <w:rPr>
          <w:rFonts w:ascii="Calibri" w:hAnsi="Calibri" w:cs="Calibri"/>
          <w:i/>
          <w:iCs/>
          <w:color w:val="auto"/>
          <w:sz w:val="22"/>
          <w:szCs w:val="22"/>
        </w:rPr>
        <w:t>Feasibility</w:t>
      </w:r>
      <w:proofErr w:type="spellEnd"/>
      <w:r w:rsidRPr="00160C16">
        <w:rPr>
          <w:rFonts w:ascii="Calibri" w:hAnsi="Calibri" w:cs="Calibri"/>
          <w:i/>
          <w:iCs/>
          <w:color w:val="auto"/>
          <w:sz w:val="22"/>
          <w:szCs w:val="22"/>
        </w:rPr>
        <w:t xml:space="preserve"> </w:t>
      </w:r>
      <w:proofErr w:type="spellStart"/>
      <w:r w:rsidRPr="00160C16">
        <w:rPr>
          <w:rFonts w:ascii="Calibri" w:hAnsi="Calibri" w:cs="Calibri"/>
          <w:i/>
          <w:iCs/>
          <w:color w:val="auto"/>
          <w:sz w:val="22"/>
          <w:szCs w:val="22"/>
        </w:rPr>
        <w:t>Study</w:t>
      </w:r>
      <w:proofErr w:type="spellEnd"/>
      <w:r w:rsidRPr="00160C16">
        <w:rPr>
          <w:rFonts w:ascii="Calibri" w:hAnsi="Calibri" w:cs="Calibri"/>
          <w:color w:val="auto"/>
          <w:sz w:val="22"/>
          <w:szCs w:val="22"/>
        </w:rPr>
        <w:t>) kommer att designas, dimensioneras och optimeras. Styrelsens samlade bedömning är således att den riktade nyemissionen är fördelaktig för Bolaget och dess aktieägare.</w:t>
      </w:r>
    </w:p>
    <w:p w14:paraId="11227160" w14:textId="1738CFC5" w:rsidR="008D7E01" w:rsidRPr="00BA0628" w:rsidRDefault="008D7E01" w:rsidP="008D7E01">
      <w:pPr>
        <w:pStyle w:val="Rubrik"/>
        <w:spacing w:after="0" w:line="300" w:lineRule="atLeast"/>
        <w:ind w:left="426"/>
        <w:jc w:val="both"/>
        <w:rPr>
          <w:rFonts w:ascii="Calibri" w:eastAsiaTheme="minorHAnsi" w:hAnsi="Calibri" w:cs="Calibri"/>
          <w:i/>
          <w:iCs/>
          <w:spacing w:val="0"/>
          <w:kern w:val="2"/>
          <w:sz w:val="22"/>
          <w:szCs w:val="22"/>
        </w:rPr>
      </w:pPr>
      <w:r w:rsidRPr="00BA0628">
        <w:rPr>
          <w:rFonts w:ascii="Calibri" w:eastAsiaTheme="minorHAnsi" w:hAnsi="Calibri" w:cs="Calibri"/>
          <w:i/>
          <w:iCs/>
          <w:spacing w:val="0"/>
          <w:kern w:val="2"/>
          <w:sz w:val="22"/>
          <w:szCs w:val="22"/>
        </w:rPr>
        <w:t xml:space="preserve">The reason for the deviation from the shareholders' preferential rights is to </w:t>
      </w:r>
      <w:proofErr w:type="spellStart"/>
      <w:r w:rsidR="007052F2" w:rsidRPr="007052F2">
        <w:rPr>
          <w:rFonts w:ascii="Calibri" w:eastAsiaTheme="minorHAnsi" w:hAnsi="Calibri" w:cs="Calibri"/>
          <w:bCs/>
          <w:i/>
          <w:iCs/>
          <w:spacing w:val="0"/>
          <w:kern w:val="2"/>
          <w:sz w:val="22"/>
          <w:szCs w:val="22"/>
          <w:lang w:val="sv-SE"/>
        </w:rPr>
        <w:t>enable</w:t>
      </w:r>
      <w:proofErr w:type="spellEnd"/>
      <w:r w:rsidR="007052F2" w:rsidRPr="007052F2">
        <w:rPr>
          <w:rFonts w:ascii="Calibri" w:eastAsiaTheme="minorHAnsi" w:hAnsi="Calibri" w:cs="Calibri"/>
          <w:bCs/>
          <w:i/>
          <w:iCs/>
          <w:spacing w:val="0"/>
          <w:kern w:val="2"/>
          <w:sz w:val="22"/>
          <w:szCs w:val="22"/>
          <w:lang w:val="sv-SE"/>
        </w:rPr>
        <w:t xml:space="preserve"> </w:t>
      </w:r>
      <w:proofErr w:type="spellStart"/>
      <w:r w:rsidR="007052F2" w:rsidRPr="007052F2">
        <w:rPr>
          <w:rFonts w:ascii="Calibri" w:eastAsiaTheme="minorHAnsi" w:hAnsi="Calibri" w:cs="Calibri"/>
          <w:bCs/>
          <w:i/>
          <w:iCs/>
          <w:spacing w:val="0"/>
          <w:kern w:val="2"/>
          <w:sz w:val="22"/>
          <w:szCs w:val="22"/>
          <w:lang w:val="sv-SE"/>
        </w:rPr>
        <w:t>share</w:t>
      </w:r>
      <w:proofErr w:type="spellEnd"/>
      <w:r w:rsidR="007052F2" w:rsidRPr="007052F2">
        <w:rPr>
          <w:rFonts w:ascii="Calibri" w:eastAsiaTheme="minorHAnsi" w:hAnsi="Calibri" w:cs="Calibri"/>
          <w:bCs/>
          <w:i/>
          <w:iCs/>
          <w:spacing w:val="0"/>
          <w:kern w:val="2"/>
          <w:sz w:val="22"/>
          <w:szCs w:val="22"/>
          <w:lang w:val="sv-SE"/>
        </w:rPr>
        <w:t xml:space="preserve"> </w:t>
      </w:r>
      <w:proofErr w:type="spellStart"/>
      <w:r w:rsidR="007052F2" w:rsidRPr="007052F2">
        <w:rPr>
          <w:rFonts w:ascii="Calibri" w:eastAsiaTheme="minorHAnsi" w:hAnsi="Calibri" w:cs="Calibri"/>
          <w:bCs/>
          <w:i/>
          <w:iCs/>
          <w:spacing w:val="0"/>
          <w:kern w:val="2"/>
          <w:sz w:val="22"/>
          <w:szCs w:val="22"/>
          <w:lang w:val="sv-SE"/>
        </w:rPr>
        <w:t>based</w:t>
      </w:r>
      <w:proofErr w:type="spellEnd"/>
      <w:r w:rsidR="007052F2" w:rsidRPr="007052F2">
        <w:rPr>
          <w:rFonts w:ascii="Calibri" w:eastAsiaTheme="minorHAnsi" w:hAnsi="Calibri" w:cs="Calibri"/>
          <w:bCs/>
          <w:i/>
          <w:iCs/>
          <w:spacing w:val="0"/>
          <w:kern w:val="2"/>
          <w:sz w:val="22"/>
          <w:szCs w:val="22"/>
          <w:lang w:val="sv-SE"/>
        </w:rPr>
        <w:t xml:space="preserve"> </w:t>
      </w:r>
      <w:proofErr w:type="spellStart"/>
      <w:r w:rsidR="007052F2" w:rsidRPr="007052F2">
        <w:rPr>
          <w:rFonts w:ascii="Calibri" w:eastAsiaTheme="minorHAnsi" w:hAnsi="Calibri" w:cs="Calibri"/>
          <w:bCs/>
          <w:i/>
          <w:iCs/>
          <w:spacing w:val="0"/>
          <w:kern w:val="2"/>
          <w:sz w:val="22"/>
          <w:szCs w:val="22"/>
          <w:lang w:val="sv-SE"/>
        </w:rPr>
        <w:t>remuneration</w:t>
      </w:r>
      <w:proofErr w:type="spellEnd"/>
      <w:r w:rsidR="007052F2" w:rsidRPr="007052F2">
        <w:rPr>
          <w:rFonts w:ascii="Calibri" w:eastAsiaTheme="minorHAnsi" w:hAnsi="Calibri" w:cs="Calibri"/>
          <w:bCs/>
          <w:i/>
          <w:iCs/>
          <w:spacing w:val="0"/>
          <w:kern w:val="2"/>
          <w:sz w:val="22"/>
          <w:szCs w:val="22"/>
          <w:lang w:val="sv-SE"/>
        </w:rPr>
        <w:t xml:space="preserve"> to EXT</w:t>
      </w:r>
      <w:r w:rsidRPr="00BA0628">
        <w:rPr>
          <w:rFonts w:ascii="Calibri" w:eastAsiaTheme="minorHAnsi" w:hAnsi="Calibri" w:cs="Calibri"/>
          <w:i/>
          <w:iCs/>
          <w:spacing w:val="0"/>
          <w:kern w:val="2"/>
          <w:sz w:val="22"/>
          <w:szCs w:val="22"/>
        </w:rPr>
        <w:t>. Th</w:t>
      </w:r>
      <w:r w:rsidR="007052F2">
        <w:rPr>
          <w:rFonts w:ascii="Calibri" w:eastAsiaTheme="minorHAnsi" w:hAnsi="Calibri" w:cs="Calibri"/>
          <w:i/>
          <w:iCs/>
          <w:spacing w:val="0"/>
          <w:kern w:val="2"/>
          <w:sz w:val="22"/>
          <w:szCs w:val="22"/>
        </w:rPr>
        <w:t>e</w:t>
      </w:r>
      <w:r w:rsidRPr="00BA0628">
        <w:rPr>
          <w:rFonts w:ascii="Calibri" w:eastAsiaTheme="minorHAnsi" w:hAnsi="Calibri" w:cs="Calibri"/>
          <w:i/>
          <w:iCs/>
          <w:spacing w:val="0"/>
          <w:kern w:val="2"/>
          <w:sz w:val="22"/>
          <w:szCs w:val="22"/>
        </w:rPr>
        <w:t xml:space="preserve"> recruitment </w:t>
      </w:r>
      <w:r w:rsidR="007052F2" w:rsidRPr="00BD0D29">
        <w:rPr>
          <w:rFonts w:ascii="Calibri" w:eastAsiaTheme="minorHAnsi" w:hAnsi="Calibri" w:cs="Calibri"/>
          <w:i/>
          <w:iCs/>
          <w:spacing w:val="0"/>
          <w:kern w:val="2"/>
          <w:sz w:val="22"/>
          <w:szCs w:val="22"/>
        </w:rPr>
        <w:t>of mine manager and technical management for the planned mining operations in Joma and Stekenjokk-Levi</w:t>
      </w:r>
      <w:r w:rsidR="007052F2" w:rsidRPr="007052F2">
        <w:rPr>
          <w:rFonts w:ascii="Calibri" w:eastAsiaTheme="minorHAnsi" w:hAnsi="Calibri" w:cs="Calibri"/>
          <w:i/>
          <w:iCs/>
          <w:spacing w:val="0"/>
          <w:kern w:val="2"/>
          <w:sz w:val="22"/>
          <w:szCs w:val="22"/>
        </w:rPr>
        <w:t xml:space="preserve"> </w:t>
      </w:r>
      <w:r w:rsidRPr="00BA0628">
        <w:rPr>
          <w:rFonts w:ascii="Calibri" w:eastAsiaTheme="minorHAnsi" w:hAnsi="Calibri" w:cs="Calibri"/>
          <w:i/>
          <w:iCs/>
          <w:spacing w:val="0"/>
          <w:kern w:val="2"/>
          <w:sz w:val="22"/>
          <w:szCs w:val="22"/>
        </w:rPr>
        <w:t>is an important step in building up the Group's organization in both Norway and Sweden whereby the Company and its Norwegian subsidiary Joma Gruver are strengthened with internal, industry-leading mining technical expertise, which is assessed as very important in the phase that the Company is now beginning where the planned mining operations in Joma and Stekenjokk-Levi during the work with the pre-feasibility study will be designed, dimensioned and optimized. The board's overall assessment is thus that the directed new issue is beneficial for the Company and its shareholders.</w:t>
      </w:r>
    </w:p>
    <w:p w14:paraId="7164205A" w14:textId="77777777" w:rsidR="008D7E01" w:rsidRPr="00160C16" w:rsidRDefault="008D7E01" w:rsidP="008D7E01">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26"/>
        <w:jc w:val="both"/>
        <w:rPr>
          <w:rFonts w:ascii="Calibri" w:hAnsi="Calibri" w:cs="Calibri"/>
          <w:i/>
          <w:iCs/>
          <w:color w:val="000000"/>
          <w:sz w:val="22"/>
          <w:szCs w:val="22"/>
        </w:rPr>
      </w:pPr>
    </w:p>
    <w:p w14:paraId="293A0A8B" w14:textId="77777777" w:rsidR="008D7E01" w:rsidRPr="00762390" w:rsidRDefault="008D7E01" w:rsidP="008D7E01">
      <w:pPr>
        <w:pStyle w:val="Liststyck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left="426" w:hanging="426"/>
        <w:jc w:val="both"/>
        <w:rPr>
          <w:rFonts w:ascii="Calibri" w:hAnsi="Calibri" w:cs="Calibri"/>
          <w:color w:val="000000"/>
          <w:sz w:val="22"/>
          <w:szCs w:val="22"/>
          <w:lang w:val="sv-SE"/>
        </w:rPr>
      </w:pPr>
      <w:r w:rsidRPr="00762390">
        <w:rPr>
          <w:rFonts w:ascii="Calibri" w:hAnsi="Calibri" w:cs="Calibri"/>
          <w:color w:val="000000"/>
          <w:sz w:val="22"/>
          <w:szCs w:val="22"/>
          <w:lang w:val="sv-SE"/>
        </w:rPr>
        <w:t>De nya aktier som utges efter teckning av aktier med stöd av teckningsoption av serie TO6 ska medföra rätt till vinstutdelning första gången på den avstämningsdag för utdelning som infaller närmast efter det att aktieteckning med stöd av optionsrätt verkställts.</w:t>
      </w:r>
    </w:p>
    <w:p w14:paraId="32B33510" w14:textId="77777777" w:rsidR="008D7E01" w:rsidRPr="00160C16" w:rsidRDefault="008D7E01" w:rsidP="00EC26C4">
      <w:pPr>
        <w:pStyle w:val="Liststyck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20" w:lineRule="exact"/>
        <w:ind w:left="426" w:hanging="426"/>
        <w:jc w:val="both"/>
        <w:rPr>
          <w:rFonts w:ascii="Calibri" w:hAnsi="Calibri" w:cs="Calibri"/>
          <w:i/>
          <w:iCs/>
          <w:color w:val="000000"/>
          <w:sz w:val="22"/>
          <w:szCs w:val="22"/>
        </w:rPr>
      </w:pPr>
      <w:r w:rsidRPr="00762390">
        <w:rPr>
          <w:rFonts w:ascii="Calibri" w:hAnsi="Calibri" w:cs="Calibri"/>
          <w:i/>
          <w:iCs/>
          <w:color w:val="000000"/>
          <w:sz w:val="22"/>
          <w:szCs w:val="22"/>
          <w:lang w:val="sv-SE"/>
        </w:rPr>
        <w:tab/>
      </w:r>
      <w:r w:rsidRPr="00160C16">
        <w:rPr>
          <w:rFonts w:ascii="Calibri" w:hAnsi="Calibri" w:cs="Calibri"/>
          <w:i/>
          <w:iCs/>
          <w:color w:val="000000"/>
          <w:sz w:val="22"/>
          <w:szCs w:val="22"/>
        </w:rPr>
        <w:t>The new shares that are issued after the subscription of shares with the support of warrants of series TO6 shall carry the right to profit distribution for the first time on the dividend record date that falls closest after the subscription of shares with the support of warrants has been executed.</w:t>
      </w:r>
    </w:p>
    <w:p w14:paraId="200773FE" w14:textId="77777777" w:rsidR="008D7E01" w:rsidRPr="00762390" w:rsidRDefault="008D7E01" w:rsidP="00EC2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Calibri" w:hAnsi="Calibri" w:cs="Calibri"/>
          <w:i/>
          <w:iCs/>
          <w:color w:val="000000"/>
          <w:sz w:val="22"/>
          <w:szCs w:val="22"/>
          <w:lang w:val="en-US"/>
        </w:rPr>
      </w:pPr>
    </w:p>
    <w:p w14:paraId="58F98E32" w14:textId="702FD96A" w:rsidR="008D7E01" w:rsidRPr="00762390" w:rsidRDefault="008D7E01" w:rsidP="00EC26C4">
      <w:pPr>
        <w:pStyle w:val="Liststyck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426" w:hanging="426"/>
        <w:jc w:val="both"/>
        <w:rPr>
          <w:rFonts w:ascii="Calibri" w:hAnsi="Calibri" w:cs="Calibri"/>
          <w:i/>
          <w:iCs/>
          <w:color w:val="000000"/>
          <w:sz w:val="22"/>
          <w:szCs w:val="22"/>
          <w:lang w:val="sv-SE"/>
        </w:rPr>
      </w:pPr>
      <w:r w:rsidRPr="00762390">
        <w:rPr>
          <w:rFonts w:ascii="Calibri" w:hAnsi="Calibri" w:cs="Calibri"/>
          <w:sz w:val="22"/>
          <w:szCs w:val="22"/>
          <w:lang w:val="sv-SE"/>
        </w:rPr>
        <w:t xml:space="preserve">Handlingar enligt </w:t>
      </w:r>
      <w:r w:rsidR="00354926" w:rsidRPr="00762390">
        <w:rPr>
          <w:rFonts w:ascii="Calibri" w:hAnsi="Calibri" w:cs="Calibri"/>
          <w:sz w:val="22"/>
          <w:szCs w:val="22"/>
          <w:lang w:val="sv-SE"/>
        </w:rPr>
        <w:t>aktiebolagslagen</w:t>
      </w:r>
      <w:r w:rsidRPr="00762390">
        <w:rPr>
          <w:rFonts w:ascii="Calibri" w:hAnsi="Calibri" w:cs="Calibri"/>
          <w:sz w:val="22"/>
          <w:szCs w:val="22"/>
          <w:lang w:val="sv-SE"/>
        </w:rPr>
        <w:t xml:space="preserve"> 14:8 bifogas som </w:t>
      </w:r>
      <w:r w:rsidRPr="00762390">
        <w:rPr>
          <w:rFonts w:ascii="Calibri" w:hAnsi="Calibri" w:cs="Calibri"/>
          <w:b/>
          <w:sz w:val="22"/>
          <w:szCs w:val="22"/>
          <w:lang w:val="sv-SE"/>
        </w:rPr>
        <w:t>Bilaga 1-4.</w:t>
      </w:r>
    </w:p>
    <w:p w14:paraId="78D0F378" w14:textId="77777777" w:rsidR="008D7E01" w:rsidRPr="00BA0628" w:rsidRDefault="008D7E01" w:rsidP="008D7E01">
      <w:pPr>
        <w:pStyle w:val="Rubrik"/>
        <w:spacing w:after="0" w:line="300" w:lineRule="atLeast"/>
        <w:ind w:left="426"/>
        <w:jc w:val="both"/>
        <w:rPr>
          <w:rFonts w:ascii="Calibri" w:eastAsiaTheme="minorHAnsi" w:hAnsi="Calibri" w:cs="Calibri"/>
          <w:i/>
          <w:iCs/>
          <w:spacing w:val="0"/>
          <w:kern w:val="2"/>
          <w:sz w:val="22"/>
          <w:szCs w:val="22"/>
        </w:rPr>
      </w:pPr>
      <w:r w:rsidRPr="00BA0628">
        <w:rPr>
          <w:rFonts w:ascii="Calibri" w:eastAsiaTheme="minorHAnsi" w:hAnsi="Calibri" w:cs="Calibri"/>
          <w:i/>
          <w:iCs/>
          <w:spacing w:val="0"/>
          <w:kern w:val="2"/>
          <w:sz w:val="22"/>
          <w:szCs w:val="22"/>
        </w:rPr>
        <w:t xml:space="preserve">Documents according to Chapter 14, Section 8 of the Swedish Companies Act are attached as </w:t>
      </w:r>
      <w:r w:rsidRPr="00BA0628">
        <w:rPr>
          <w:rFonts w:ascii="Calibri" w:eastAsiaTheme="minorHAnsi" w:hAnsi="Calibri" w:cs="Calibri"/>
          <w:b/>
          <w:bCs/>
          <w:i/>
          <w:iCs/>
          <w:spacing w:val="0"/>
          <w:kern w:val="2"/>
          <w:sz w:val="22"/>
          <w:szCs w:val="22"/>
        </w:rPr>
        <w:t>Appendix 1-4.</w:t>
      </w:r>
    </w:p>
    <w:p w14:paraId="03194499" w14:textId="77777777" w:rsidR="008D7E01" w:rsidRPr="00762390" w:rsidRDefault="008D7E01" w:rsidP="008D7E01">
      <w:pPr>
        <w:pStyle w:val="Rubrik"/>
        <w:spacing w:after="0" w:line="300" w:lineRule="atLeast"/>
        <w:jc w:val="both"/>
        <w:rPr>
          <w:rFonts w:ascii="Calibri" w:hAnsi="Calibri" w:cs="Calibri"/>
          <w:b/>
          <w:i/>
          <w:iCs/>
          <w:sz w:val="22"/>
          <w:szCs w:val="22"/>
          <w:lang w:val="en-US"/>
        </w:rPr>
      </w:pPr>
    </w:p>
    <w:p w14:paraId="7B695AC0" w14:textId="77777777" w:rsidR="008D7E01" w:rsidRPr="00762390" w:rsidRDefault="008D7E01" w:rsidP="008D7E01">
      <w:pPr>
        <w:pStyle w:val="Liststycke"/>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left="426" w:hanging="426"/>
        <w:jc w:val="both"/>
        <w:rPr>
          <w:rFonts w:ascii="Calibri" w:hAnsi="Calibri" w:cs="Calibri"/>
          <w:color w:val="000000"/>
          <w:sz w:val="22"/>
          <w:szCs w:val="22"/>
          <w:lang w:val="sv-SE"/>
        </w:rPr>
      </w:pPr>
      <w:r w:rsidRPr="00762390">
        <w:rPr>
          <w:rFonts w:ascii="Calibri" w:hAnsi="Calibri" w:cs="Calibri"/>
          <w:sz w:val="22"/>
          <w:szCs w:val="22"/>
          <w:lang w:val="sv-SE"/>
        </w:rPr>
        <w:t xml:space="preserve">De fullständiga villkoren för teckningsoptionerna av serie TO6 framgår av </w:t>
      </w:r>
      <w:r w:rsidRPr="00762390">
        <w:rPr>
          <w:rFonts w:ascii="Calibri" w:hAnsi="Calibri" w:cs="Calibri"/>
          <w:b/>
          <w:bCs/>
          <w:sz w:val="22"/>
          <w:szCs w:val="22"/>
          <w:lang w:val="sv-SE"/>
        </w:rPr>
        <w:t>Bilaga 5</w:t>
      </w:r>
      <w:r w:rsidRPr="00762390">
        <w:rPr>
          <w:rFonts w:ascii="Calibri" w:hAnsi="Calibri" w:cs="Calibri"/>
          <w:sz w:val="22"/>
          <w:szCs w:val="22"/>
          <w:lang w:val="sv-SE"/>
        </w:rPr>
        <w:t>.</w:t>
      </w:r>
    </w:p>
    <w:p w14:paraId="13CB684C" w14:textId="77777777" w:rsidR="008D7E01" w:rsidRPr="00BA0628" w:rsidRDefault="008D7E01" w:rsidP="008D7E01">
      <w:pPr>
        <w:pStyle w:val="Default"/>
        <w:spacing w:line="300" w:lineRule="atLeast"/>
        <w:ind w:left="426"/>
        <w:jc w:val="both"/>
        <w:rPr>
          <w:rFonts w:ascii="Calibri" w:eastAsiaTheme="minorHAnsi" w:hAnsi="Calibri" w:cs="Calibri"/>
          <w:i/>
          <w:iCs/>
          <w:color w:val="auto"/>
          <w:kern w:val="2"/>
          <w:sz w:val="22"/>
          <w:szCs w:val="22"/>
          <w:lang w:val="en-GB" w:eastAsia="en-US"/>
          <w14:ligatures w14:val="standardContextual"/>
        </w:rPr>
      </w:pPr>
      <w:r w:rsidRPr="00BA0628">
        <w:rPr>
          <w:rFonts w:ascii="Calibri" w:eastAsiaTheme="minorHAnsi" w:hAnsi="Calibri" w:cs="Calibri"/>
          <w:i/>
          <w:iCs/>
          <w:color w:val="auto"/>
          <w:kern w:val="2"/>
          <w:sz w:val="22"/>
          <w:szCs w:val="22"/>
          <w:lang w:val="en-GB" w:eastAsia="en-US"/>
          <w14:ligatures w14:val="standardContextual"/>
        </w:rPr>
        <w:t xml:space="preserve">The complete terms and conditions for the warrants of series TO6 appear in </w:t>
      </w:r>
      <w:r w:rsidRPr="00BA0628">
        <w:rPr>
          <w:rFonts w:ascii="Calibri" w:eastAsiaTheme="minorHAnsi" w:hAnsi="Calibri" w:cs="Calibri"/>
          <w:b/>
          <w:bCs/>
          <w:i/>
          <w:iCs/>
          <w:color w:val="auto"/>
          <w:kern w:val="2"/>
          <w:sz w:val="22"/>
          <w:szCs w:val="22"/>
          <w:lang w:val="en-GB" w:eastAsia="en-US"/>
          <w14:ligatures w14:val="standardContextual"/>
        </w:rPr>
        <w:t>Appendix 5</w:t>
      </w:r>
      <w:r w:rsidRPr="00BA0628">
        <w:rPr>
          <w:rFonts w:ascii="Calibri" w:eastAsiaTheme="minorHAnsi" w:hAnsi="Calibri" w:cs="Calibri"/>
          <w:i/>
          <w:iCs/>
          <w:color w:val="auto"/>
          <w:kern w:val="2"/>
          <w:sz w:val="22"/>
          <w:szCs w:val="22"/>
          <w:lang w:val="en-GB" w:eastAsia="en-US"/>
          <w14:ligatures w14:val="standardContextual"/>
        </w:rPr>
        <w:t>.</w:t>
      </w:r>
    </w:p>
    <w:p w14:paraId="7D6CEF6B" w14:textId="77777777" w:rsidR="008D7E01" w:rsidRPr="00762390" w:rsidRDefault="008D7E01" w:rsidP="008D7E01">
      <w:pPr>
        <w:pStyle w:val="Default"/>
        <w:spacing w:line="300" w:lineRule="atLeast"/>
        <w:jc w:val="both"/>
        <w:rPr>
          <w:rFonts w:ascii="Calibri" w:hAnsi="Calibri" w:cs="Calibri"/>
          <w:i/>
          <w:iCs/>
          <w:sz w:val="22"/>
          <w:szCs w:val="22"/>
          <w:lang w:val="en-US"/>
        </w:rPr>
      </w:pPr>
    </w:p>
    <w:p w14:paraId="5729C478" w14:textId="77777777" w:rsidR="008D7E01" w:rsidRPr="00160C16" w:rsidRDefault="008D7E01" w:rsidP="008D7E01">
      <w:pPr>
        <w:pStyle w:val="Default"/>
        <w:numPr>
          <w:ilvl w:val="0"/>
          <w:numId w:val="6"/>
        </w:numPr>
        <w:spacing w:line="300" w:lineRule="atLeast"/>
        <w:ind w:left="426" w:hanging="426"/>
        <w:jc w:val="both"/>
        <w:rPr>
          <w:rFonts w:ascii="Calibri" w:hAnsi="Calibri" w:cs="Calibri"/>
          <w:i/>
          <w:iCs/>
          <w:sz w:val="22"/>
          <w:szCs w:val="22"/>
        </w:rPr>
      </w:pPr>
      <w:r w:rsidRPr="00160C16">
        <w:rPr>
          <w:rFonts w:ascii="Calibri" w:hAnsi="Calibri" w:cs="Calibri"/>
          <w:sz w:val="22"/>
          <w:szCs w:val="22"/>
        </w:rPr>
        <w:lastRenderedPageBreak/>
        <w:t>Styrelsens ordförande eller advokaten My Simonsson bemyndigas att företa de eventuella mindre justeringar i styrelsens beslut och villkor som kan krävas i samband med registrering och verkställande.</w:t>
      </w:r>
    </w:p>
    <w:p w14:paraId="78631F4F" w14:textId="77777777" w:rsidR="008D7E01" w:rsidRPr="00762390" w:rsidRDefault="008D7E01" w:rsidP="008D7E01">
      <w:pPr>
        <w:pStyle w:val="Default"/>
        <w:spacing w:line="300" w:lineRule="atLeast"/>
        <w:ind w:left="426"/>
        <w:jc w:val="both"/>
        <w:rPr>
          <w:rFonts w:ascii="Calibri" w:hAnsi="Calibri" w:cs="Calibri"/>
          <w:i/>
          <w:iCs/>
          <w:sz w:val="22"/>
          <w:szCs w:val="22"/>
          <w:lang w:val="en-US"/>
        </w:rPr>
      </w:pPr>
      <w:r w:rsidRPr="00762390">
        <w:rPr>
          <w:rFonts w:ascii="Calibri" w:hAnsi="Calibri" w:cs="Calibri"/>
          <w:i/>
          <w:iCs/>
          <w:sz w:val="22"/>
          <w:szCs w:val="22"/>
          <w:lang w:val="en-US"/>
        </w:rPr>
        <w:t>The chairman of the board or the lawyer My Simonsson is authorized to make any minor adjustments in the board's decisions and conditions that may be required in connection with registration and execution.</w:t>
      </w:r>
    </w:p>
    <w:p w14:paraId="3DC91727" w14:textId="77777777" w:rsidR="00AD014D" w:rsidRPr="00160C16" w:rsidRDefault="00AD014D" w:rsidP="00E233DF">
      <w:pPr>
        <w:pStyle w:val="Default"/>
        <w:jc w:val="both"/>
        <w:rPr>
          <w:rFonts w:ascii="Calibri" w:hAnsi="Calibri" w:cs="Calibri"/>
          <w:bCs/>
          <w:i/>
          <w:iCs/>
          <w:sz w:val="22"/>
          <w:szCs w:val="22"/>
          <w:lang w:val="en-GB"/>
        </w:rPr>
      </w:pPr>
    </w:p>
    <w:p w14:paraId="48F95BAB" w14:textId="77777777" w:rsidR="00AD014D" w:rsidRPr="00160C16" w:rsidRDefault="00AD014D" w:rsidP="00AD014D">
      <w:pPr>
        <w:pStyle w:val="Default"/>
        <w:jc w:val="both"/>
        <w:rPr>
          <w:rFonts w:ascii="Calibri" w:hAnsi="Calibri" w:cs="Calibri"/>
          <w:b/>
          <w:i/>
          <w:iCs/>
          <w:sz w:val="22"/>
          <w:szCs w:val="22"/>
        </w:rPr>
      </w:pPr>
      <w:r w:rsidRPr="00160C16">
        <w:rPr>
          <w:rFonts w:ascii="Calibri" w:hAnsi="Calibri" w:cs="Calibri"/>
          <w:bCs/>
          <w:sz w:val="22"/>
          <w:szCs w:val="22"/>
        </w:rPr>
        <w:t>Stämmans beslut är giltigt endast om det har biträtts av aktieägare med minst 9/10 av såväl de avgivna rösterna som de på stämman företrädda aktierna.</w:t>
      </w:r>
    </w:p>
    <w:p w14:paraId="213E8631" w14:textId="77777777" w:rsidR="00AD014D" w:rsidRPr="00160C16" w:rsidRDefault="00AD014D" w:rsidP="00AD014D">
      <w:pPr>
        <w:pStyle w:val="Default"/>
        <w:jc w:val="both"/>
        <w:rPr>
          <w:rFonts w:ascii="Calibri" w:hAnsi="Calibri" w:cs="Calibri"/>
          <w:bCs/>
          <w:i/>
          <w:iCs/>
          <w:sz w:val="22"/>
          <w:szCs w:val="22"/>
          <w:lang w:val="en-GB"/>
        </w:rPr>
      </w:pPr>
      <w:r w:rsidRPr="00160C16">
        <w:rPr>
          <w:rFonts w:ascii="Calibri" w:hAnsi="Calibri" w:cs="Calibri"/>
          <w:bCs/>
          <w:i/>
          <w:iCs/>
          <w:sz w:val="22"/>
          <w:szCs w:val="22"/>
          <w:lang w:val="en-GB"/>
        </w:rPr>
        <w:t>The general meeting's decision is valid only if it has been supported by shareholders with at least 9/10 of both the votes cast and the shares represented at the meeting.</w:t>
      </w:r>
    </w:p>
    <w:p w14:paraId="1CA47CC7" w14:textId="77777777" w:rsidR="008535EC" w:rsidRPr="00160C16" w:rsidRDefault="008535EC" w:rsidP="00E233DF">
      <w:pPr>
        <w:pStyle w:val="Default"/>
        <w:jc w:val="both"/>
        <w:rPr>
          <w:rFonts w:ascii="Calibri" w:hAnsi="Calibri" w:cs="Calibri"/>
          <w:bCs/>
          <w:i/>
          <w:iCs/>
          <w:sz w:val="22"/>
          <w:szCs w:val="22"/>
          <w:lang w:val="en-GB"/>
        </w:rPr>
      </w:pPr>
    </w:p>
    <w:p w14:paraId="6B302F48" w14:textId="7EF2D365" w:rsidR="000F3498" w:rsidRPr="00160C16" w:rsidRDefault="00F33FBE" w:rsidP="00F33FBE">
      <w:pPr>
        <w:spacing w:line="300" w:lineRule="exact"/>
        <w:jc w:val="both"/>
        <w:rPr>
          <w:rFonts w:ascii="Calibri" w:hAnsi="Calibri" w:cs="Calibri"/>
          <w:b/>
          <w:sz w:val="22"/>
          <w:szCs w:val="22"/>
        </w:rPr>
      </w:pPr>
      <w:r w:rsidRPr="00160C16">
        <w:rPr>
          <w:rFonts w:ascii="Calibri" w:hAnsi="Calibri" w:cs="Calibri"/>
          <w:b/>
          <w:sz w:val="22"/>
          <w:szCs w:val="22"/>
        </w:rPr>
        <w:t xml:space="preserve">Punkt </w:t>
      </w:r>
      <w:r w:rsidR="004646B1" w:rsidRPr="00160C16">
        <w:rPr>
          <w:rFonts w:ascii="Calibri" w:hAnsi="Calibri" w:cs="Calibri"/>
          <w:b/>
          <w:sz w:val="22"/>
          <w:szCs w:val="22"/>
        </w:rPr>
        <w:t>7</w:t>
      </w:r>
      <w:r w:rsidRPr="00160C16">
        <w:rPr>
          <w:rFonts w:ascii="Calibri" w:hAnsi="Calibri" w:cs="Calibri"/>
          <w:b/>
          <w:sz w:val="22"/>
          <w:szCs w:val="22"/>
        </w:rPr>
        <w:t xml:space="preserve"> </w:t>
      </w:r>
      <w:r w:rsidR="00C5023F" w:rsidRPr="00160C16">
        <w:rPr>
          <w:rFonts w:ascii="Calibri" w:hAnsi="Calibri" w:cs="Calibri"/>
          <w:b/>
          <w:sz w:val="22"/>
          <w:szCs w:val="22"/>
        </w:rPr>
        <w:t>–</w:t>
      </w:r>
      <w:r w:rsidR="000F3498" w:rsidRPr="00160C16">
        <w:rPr>
          <w:rFonts w:ascii="Calibri" w:hAnsi="Calibri" w:cs="Calibri"/>
          <w:b/>
          <w:sz w:val="22"/>
          <w:szCs w:val="22"/>
        </w:rPr>
        <w:t xml:space="preserve"> </w:t>
      </w:r>
      <w:r w:rsidR="00C5023F" w:rsidRPr="00160C16">
        <w:rPr>
          <w:rFonts w:ascii="Calibri" w:hAnsi="Calibri" w:cs="Calibri"/>
          <w:b/>
          <w:sz w:val="22"/>
          <w:szCs w:val="22"/>
        </w:rPr>
        <w:t xml:space="preserve">Beslut om </w:t>
      </w:r>
      <w:r w:rsidR="00727201" w:rsidRPr="00160C16">
        <w:rPr>
          <w:rFonts w:ascii="Calibri" w:hAnsi="Calibri" w:cs="Calibri"/>
          <w:b/>
          <w:sz w:val="22"/>
          <w:szCs w:val="22"/>
        </w:rPr>
        <w:t xml:space="preserve">godkännande av </w:t>
      </w:r>
      <w:r w:rsidR="00C5023F" w:rsidRPr="00160C16">
        <w:rPr>
          <w:rFonts w:ascii="Calibri" w:hAnsi="Calibri" w:cs="Calibri"/>
          <w:b/>
          <w:sz w:val="22"/>
          <w:szCs w:val="22"/>
        </w:rPr>
        <w:t>ö</w:t>
      </w:r>
      <w:r w:rsidR="000F3498" w:rsidRPr="00160C16">
        <w:rPr>
          <w:rFonts w:ascii="Calibri" w:hAnsi="Calibri" w:cs="Calibri"/>
          <w:b/>
          <w:bCs/>
          <w:sz w:val="22"/>
          <w:szCs w:val="22"/>
        </w:rPr>
        <w:t>verlåtelse av teckningsoptioner av serie TO6</w:t>
      </w:r>
    </w:p>
    <w:p w14:paraId="339F5841" w14:textId="7ECB7FFD" w:rsidR="000F3498" w:rsidRPr="00762390" w:rsidRDefault="00F33FBE" w:rsidP="000F3498">
      <w:pPr>
        <w:spacing w:line="300" w:lineRule="exact"/>
        <w:jc w:val="both"/>
        <w:rPr>
          <w:rFonts w:ascii="Calibri" w:hAnsi="Calibri" w:cs="Calibri"/>
          <w:b/>
          <w:sz w:val="22"/>
          <w:szCs w:val="22"/>
          <w:lang w:val="en-US"/>
        </w:rPr>
      </w:pPr>
      <w:r w:rsidRPr="00762390">
        <w:rPr>
          <w:rFonts w:ascii="Calibri" w:hAnsi="Calibri" w:cs="Calibri"/>
          <w:b/>
          <w:i/>
          <w:iCs/>
          <w:sz w:val="22"/>
          <w:szCs w:val="22"/>
          <w:lang w:val="en-US"/>
        </w:rPr>
        <w:t xml:space="preserve">Item </w:t>
      </w:r>
      <w:r w:rsidR="004646B1" w:rsidRPr="00762390">
        <w:rPr>
          <w:rFonts w:ascii="Calibri" w:hAnsi="Calibri" w:cs="Calibri"/>
          <w:b/>
          <w:i/>
          <w:iCs/>
          <w:sz w:val="22"/>
          <w:szCs w:val="22"/>
          <w:lang w:val="en-US"/>
        </w:rPr>
        <w:t>7</w:t>
      </w:r>
      <w:r w:rsidR="000F3498" w:rsidRPr="00762390">
        <w:rPr>
          <w:rFonts w:ascii="Calibri" w:hAnsi="Calibri" w:cs="Calibri"/>
          <w:b/>
          <w:i/>
          <w:iCs/>
          <w:sz w:val="22"/>
          <w:szCs w:val="22"/>
          <w:lang w:val="en-US"/>
        </w:rPr>
        <w:t xml:space="preserve"> </w:t>
      </w:r>
      <w:r w:rsidR="00C5023F" w:rsidRPr="00762390">
        <w:rPr>
          <w:rFonts w:ascii="Calibri" w:hAnsi="Calibri" w:cs="Calibri"/>
          <w:b/>
          <w:i/>
          <w:iCs/>
          <w:sz w:val="22"/>
          <w:szCs w:val="22"/>
          <w:lang w:val="en-US"/>
        </w:rPr>
        <w:t>–</w:t>
      </w:r>
      <w:r w:rsidR="000F3498" w:rsidRPr="00762390">
        <w:rPr>
          <w:rFonts w:ascii="Calibri" w:hAnsi="Calibri" w:cs="Calibri"/>
          <w:b/>
          <w:i/>
          <w:iCs/>
          <w:sz w:val="22"/>
          <w:szCs w:val="22"/>
          <w:lang w:val="en-US"/>
        </w:rPr>
        <w:t xml:space="preserve"> </w:t>
      </w:r>
      <w:r w:rsidR="00C5023F" w:rsidRPr="00762390">
        <w:rPr>
          <w:rFonts w:ascii="Calibri" w:hAnsi="Calibri" w:cs="Calibri"/>
          <w:b/>
          <w:i/>
          <w:iCs/>
          <w:sz w:val="22"/>
          <w:szCs w:val="22"/>
          <w:lang w:val="en-US"/>
        </w:rPr>
        <w:t xml:space="preserve">Decision on </w:t>
      </w:r>
      <w:r w:rsidR="00727201" w:rsidRPr="00762390">
        <w:rPr>
          <w:rFonts w:ascii="Calibri" w:hAnsi="Calibri" w:cs="Calibri"/>
          <w:b/>
          <w:i/>
          <w:iCs/>
          <w:sz w:val="22"/>
          <w:szCs w:val="22"/>
          <w:lang w:val="en-US"/>
        </w:rPr>
        <w:t xml:space="preserve">approval of </w:t>
      </w:r>
      <w:r w:rsidR="00C5023F" w:rsidRPr="00762390">
        <w:rPr>
          <w:rFonts w:ascii="Calibri" w:hAnsi="Calibri" w:cs="Calibri"/>
          <w:b/>
          <w:i/>
          <w:iCs/>
          <w:sz w:val="22"/>
          <w:szCs w:val="22"/>
          <w:lang w:val="en-US"/>
        </w:rPr>
        <w:t>t</w:t>
      </w:r>
      <w:r w:rsidR="000F3498" w:rsidRPr="00762390">
        <w:rPr>
          <w:rFonts w:ascii="Calibri" w:hAnsi="Calibri" w:cs="Calibri"/>
          <w:b/>
          <w:i/>
          <w:sz w:val="22"/>
          <w:szCs w:val="22"/>
          <w:lang w:val="en-US"/>
        </w:rPr>
        <w:t>ransfer of warrants series TO6</w:t>
      </w:r>
    </w:p>
    <w:p w14:paraId="03670624" w14:textId="77777777" w:rsidR="00F33FBE" w:rsidRPr="00160C16" w:rsidRDefault="00F33FBE" w:rsidP="00E233DF">
      <w:pPr>
        <w:pStyle w:val="Default"/>
        <w:jc w:val="both"/>
        <w:rPr>
          <w:rFonts w:ascii="Calibri" w:hAnsi="Calibri" w:cs="Calibri"/>
          <w:bCs/>
          <w:i/>
          <w:iCs/>
          <w:sz w:val="22"/>
          <w:szCs w:val="22"/>
          <w:lang w:val="en-GB"/>
        </w:rPr>
      </w:pPr>
    </w:p>
    <w:p w14:paraId="68BD7E45" w14:textId="77777777" w:rsidR="00C7250D" w:rsidRPr="00160C16" w:rsidRDefault="00C7250D" w:rsidP="00C7250D">
      <w:pPr>
        <w:pStyle w:val="Brdtext"/>
        <w:tabs>
          <w:tab w:val="clear" w:pos="567"/>
          <w:tab w:val="left" w:pos="851"/>
        </w:tabs>
        <w:spacing w:line="300" w:lineRule="exact"/>
        <w:jc w:val="both"/>
        <w:rPr>
          <w:rFonts w:ascii="Calibri" w:hAnsi="Calibri" w:cs="Calibri"/>
          <w:bCs/>
          <w:sz w:val="22"/>
          <w:szCs w:val="22"/>
        </w:rPr>
      </w:pPr>
      <w:r w:rsidRPr="00160C16">
        <w:rPr>
          <w:rFonts w:ascii="Calibri" w:hAnsi="Calibri" w:cs="Calibri"/>
          <w:bCs/>
          <w:sz w:val="22"/>
          <w:szCs w:val="22"/>
        </w:rPr>
        <w:t>Styrelsen föreslår att bolagsstämman godkänner att Bolaget överlåter teckningsoptioner av serie TO6 på följande villkor.</w:t>
      </w:r>
    </w:p>
    <w:p w14:paraId="48A20345" w14:textId="77777777" w:rsidR="00C7250D" w:rsidRPr="00762390" w:rsidRDefault="00C7250D" w:rsidP="00C7250D">
      <w:pPr>
        <w:pStyle w:val="Brdtext"/>
        <w:tabs>
          <w:tab w:val="clear" w:pos="567"/>
          <w:tab w:val="left" w:pos="851"/>
        </w:tabs>
        <w:spacing w:line="300" w:lineRule="exact"/>
        <w:jc w:val="both"/>
        <w:rPr>
          <w:rFonts w:ascii="Calibri" w:hAnsi="Calibri" w:cs="Calibri"/>
          <w:bCs/>
          <w:i/>
          <w:iCs/>
          <w:sz w:val="22"/>
          <w:szCs w:val="22"/>
          <w:lang w:val="en-US"/>
        </w:rPr>
      </w:pPr>
      <w:r w:rsidRPr="00762390">
        <w:rPr>
          <w:rFonts w:ascii="Calibri" w:hAnsi="Calibri" w:cs="Calibri"/>
          <w:bCs/>
          <w:i/>
          <w:iCs/>
          <w:sz w:val="22"/>
          <w:szCs w:val="22"/>
          <w:lang w:val="en-US"/>
        </w:rPr>
        <w:t>The board proposes that the general meeting approves the Company transfers warrants series TO6 on the following terms.</w:t>
      </w:r>
    </w:p>
    <w:p w14:paraId="0A643E9E" w14:textId="77777777" w:rsidR="00C7250D" w:rsidRPr="00762390" w:rsidRDefault="00C7250D" w:rsidP="00C7250D">
      <w:pPr>
        <w:pStyle w:val="Brdtext"/>
        <w:tabs>
          <w:tab w:val="clear" w:pos="567"/>
          <w:tab w:val="left" w:pos="851"/>
        </w:tabs>
        <w:spacing w:line="300" w:lineRule="exact"/>
        <w:jc w:val="both"/>
        <w:rPr>
          <w:rFonts w:ascii="Calibri" w:hAnsi="Calibri" w:cs="Calibri"/>
          <w:bCs/>
          <w:i/>
          <w:iCs/>
          <w:sz w:val="22"/>
          <w:szCs w:val="22"/>
          <w:lang w:val="en-US"/>
        </w:rPr>
      </w:pPr>
    </w:p>
    <w:p w14:paraId="42C2F0FD" w14:textId="5A403F91" w:rsidR="00C7250D" w:rsidRPr="00160C16" w:rsidRDefault="00C7250D" w:rsidP="00C7250D">
      <w:pPr>
        <w:pStyle w:val="Brdtext"/>
        <w:tabs>
          <w:tab w:val="clear" w:pos="567"/>
          <w:tab w:val="left" w:pos="851"/>
        </w:tabs>
        <w:spacing w:line="300" w:lineRule="exact"/>
        <w:jc w:val="both"/>
        <w:rPr>
          <w:rFonts w:ascii="Calibri" w:hAnsi="Calibri" w:cs="Calibri"/>
          <w:bCs/>
          <w:sz w:val="22"/>
          <w:szCs w:val="22"/>
        </w:rPr>
      </w:pPr>
      <w:r w:rsidRPr="00160C16">
        <w:rPr>
          <w:rFonts w:ascii="Calibri" w:hAnsi="Calibri" w:cs="Calibri"/>
          <w:bCs/>
          <w:sz w:val="22"/>
          <w:szCs w:val="22"/>
        </w:rPr>
        <w:t>Rätt att förvärva teckningsoptioner</w:t>
      </w:r>
      <w:r w:rsidR="003E19D2" w:rsidRPr="00160C16">
        <w:rPr>
          <w:rFonts w:ascii="Calibri" w:hAnsi="Calibri" w:cs="Calibri"/>
          <w:bCs/>
          <w:sz w:val="22"/>
          <w:szCs w:val="22"/>
        </w:rPr>
        <w:t xml:space="preserve"> av serie TO6</w:t>
      </w:r>
      <w:r w:rsidRPr="00160C16">
        <w:rPr>
          <w:rFonts w:ascii="Calibri" w:hAnsi="Calibri" w:cs="Calibri"/>
          <w:bCs/>
          <w:sz w:val="22"/>
          <w:szCs w:val="22"/>
        </w:rPr>
        <w:t xml:space="preserve"> ska tillkomma EXT. Syftet med ö</w:t>
      </w:r>
      <w:r w:rsidRPr="00160C16">
        <w:rPr>
          <w:rFonts w:ascii="Calibri" w:hAnsi="Calibri" w:cs="Calibri"/>
          <w:sz w:val="22"/>
          <w:szCs w:val="22"/>
        </w:rPr>
        <w:t xml:space="preserve">verlåtelsen till EXT </w:t>
      </w:r>
      <w:r w:rsidR="007052F2" w:rsidRPr="007052F2">
        <w:rPr>
          <w:rFonts w:ascii="Calibri" w:hAnsi="Calibri" w:cs="Calibri"/>
          <w:sz w:val="22"/>
          <w:szCs w:val="22"/>
        </w:rPr>
        <w:t>är att möjliggöra aktiebaserad ersättning till EXT</w:t>
      </w:r>
      <w:r w:rsidR="00BA0628">
        <w:rPr>
          <w:rFonts w:ascii="Calibri" w:hAnsi="Calibri" w:cs="Calibri"/>
          <w:sz w:val="22"/>
          <w:szCs w:val="22"/>
        </w:rPr>
        <w:t>.</w:t>
      </w:r>
      <w:r w:rsidRPr="00160C16">
        <w:rPr>
          <w:rFonts w:ascii="Calibri" w:hAnsi="Calibri" w:cs="Calibri"/>
          <w:bCs/>
          <w:sz w:val="22"/>
          <w:szCs w:val="22"/>
        </w:rPr>
        <w:t xml:space="preserve"> </w:t>
      </w:r>
    </w:p>
    <w:p w14:paraId="4BA3FF96" w14:textId="0F6B63F2" w:rsidR="00C7250D" w:rsidRPr="00762390" w:rsidRDefault="00C7250D" w:rsidP="00C7250D">
      <w:pPr>
        <w:pStyle w:val="Brdtext"/>
        <w:tabs>
          <w:tab w:val="clear" w:pos="567"/>
          <w:tab w:val="left" w:pos="851"/>
        </w:tabs>
        <w:spacing w:line="300" w:lineRule="exact"/>
        <w:jc w:val="both"/>
        <w:rPr>
          <w:rFonts w:ascii="Calibri" w:hAnsi="Calibri" w:cs="Calibri"/>
          <w:bCs/>
          <w:i/>
          <w:iCs/>
          <w:sz w:val="22"/>
          <w:szCs w:val="22"/>
          <w:lang w:val="en-US"/>
        </w:rPr>
      </w:pPr>
      <w:r w:rsidRPr="00762390">
        <w:rPr>
          <w:rFonts w:ascii="Calibri" w:hAnsi="Calibri" w:cs="Calibri"/>
          <w:bCs/>
          <w:i/>
          <w:iCs/>
          <w:sz w:val="22"/>
          <w:szCs w:val="22"/>
          <w:lang w:val="en-US"/>
        </w:rPr>
        <w:t>The right to acquire warrants</w:t>
      </w:r>
      <w:r w:rsidR="003E19D2" w:rsidRPr="00762390">
        <w:rPr>
          <w:rFonts w:ascii="Calibri" w:hAnsi="Calibri" w:cs="Calibri"/>
          <w:bCs/>
          <w:i/>
          <w:iCs/>
          <w:sz w:val="22"/>
          <w:szCs w:val="22"/>
          <w:lang w:val="en-US"/>
        </w:rPr>
        <w:t xml:space="preserve"> of series TO6</w:t>
      </w:r>
      <w:r w:rsidRPr="00762390">
        <w:rPr>
          <w:rFonts w:ascii="Calibri" w:hAnsi="Calibri" w:cs="Calibri"/>
          <w:bCs/>
          <w:i/>
          <w:iCs/>
          <w:sz w:val="22"/>
          <w:szCs w:val="22"/>
          <w:lang w:val="en-US"/>
        </w:rPr>
        <w:t xml:space="preserve"> shall accrue to EXT. The purpose with the transfer to EXT is to </w:t>
      </w:r>
      <w:proofErr w:type="spellStart"/>
      <w:r w:rsidR="007052F2" w:rsidRPr="007052F2">
        <w:rPr>
          <w:rFonts w:ascii="Calibri" w:hAnsi="Calibri" w:cs="Calibri"/>
          <w:bCs/>
          <w:i/>
          <w:iCs/>
          <w:sz w:val="22"/>
          <w:szCs w:val="22"/>
        </w:rPr>
        <w:t>enable</w:t>
      </w:r>
      <w:proofErr w:type="spellEnd"/>
      <w:r w:rsidR="007052F2" w:rsidRPr="007052F2">
        <w:rPr>
          <w:rFonts w:ascii="Calibri" w:hAnsi="Calibri" w:cs="Calibri"/>
          <w:bCs/>
          <w:i/>
          <w:iCs/>
          <w:sz w:val="22"/>
          <w:szCs w:val="22"/>
        </w:rPr>
        <w:t xml:space="preserve"> </w:t>
      </w:r>
      <w:proofErr w:type="spellStart"/>
      <w:r w:rsidR="007052F2" w:rsidRPr="007052F2">
        <w:rPr>
          <w:rFonts w:ascii="Calibri" w:hAnsi="Calibri" w:cs="Calibri"/>
          <w:bCs/>
          <w:i/>
          <w:iCs/>
          <w:sz w:val="22"/>
          <w:szCs w:val="22"/>
        </w:rPr>
        <w:t>share</w:t>
      </w:r>
      <w:proofErr w:type="spellEnd"/>
      <w:r w:rsidR="007052F2" w:rsidRPr="007052F2">
        <w:rPr>
          <w:rFonts w:ascii="Calibri" w:hAnsi="Calibri" w:cs="Calibri"/>
          <w:bCs/>
          <w:i/>
          <w:iCs/>
          <w:sz w:val="22"/>
          <w:szCs w:val="22"/>
        </w:rPr>
        <w:t xml:space="preserve"> </w:t>
      </w:r>
      <w:proofErr w:type="spellStart"/>
      <w:r w:rsidR="007052F2" w:rsidRPr="007052F2">
        <w:rPr>
          <w:rFonts w:ascii="Calibri" w:hAnsi="Calibri" w:cs="Calibri"/>
          <w:bCs/>
          <w:i/>
          <w:iCs/>
          <w:sz w:val="22"/>
          <w:szCs w:val="22"/>
        </w:rPr>
        <w:t>based</w:t>
      </w:r>
      <w:proofErr w:type="spellEnd"/>
      <w:r w:rsidR="007052F2" w:rsidRPr="007052F2">
        <w:rPr>
          <w:rFonts w:ascii="Calibri" w:hAnsi="Calibri" w:cs="Calibri"/>
          <w:bCs/>
          <w:i/>
          <w:iCs/>
          <w:sz w:val="22"/>
          <w:szCs w:val="22"/>
        </w:rPr>
        <w:t xml:space="preserve"> </w:t>
      </w:r>
      <w:proofErr w:type="spellStart"/>
      <w:r w:rsidR="007052F2" w:rsidRPr="007052F2">
        <w:rPr>
          <w:rFonts w:ascii="Calibri" w:hAnsi="Calibri" w:cs="Calibri"/>
          <w:bCs/>
          <w:i/>
          <w:iCs/>
          <w:sz w:val="22"/>
          <w:szCs w:val="22"/>
        </w:rPr>
        <w:t>remuneration</w:t>
      </w:r>
      <w:proofErr w:type="spellEnd"/>
      <w:r w:rsidR="007052F2" w:rsidRPr="007052F2">
        <w:rPr>
          <w:rFonts w:ascii="Calibri" w:hAnsi="Calibri" w:cs="Calibri"/>
          <w:bCs/>
          <w:i/>
          <w:iCs/>
          <w:sz w:val="22"/>
          <w:szCs w:val="22"/>
        </w:rPr>
        <w:t xml:space="preserve"> to EXT</w:t>
      </w:r>
      <w:r w:rsidRPr="00762390">
        <w:rPr>
          <w:rFonts w:ascii="Calibri" w:hAnsi="Calibri" w:cs="Calibri"/>
          <w:bCs/>
          <w:i/>
          <w:iCs/>
          <w:sz w:val="22"/>
          <w:szCs w:val="22"/>
          <w:lang w:val="en-US"/>
        </w:rPr>
        <w:t xml:space="preserve">. </w:t>
      </w:r>
    </w:p>
    <w:p w14:paraId="6D9109FC" w14:textId="77777777" w:rsidR="00C7250D" w:rsidRPr="00762390" w:rsidRDefault="00C7250D" w:rsidP="00C7250D">
      <w:pPr>
        <w:pStyle w:val="Brdtext"/>
        <w:tabs>
          <w:tab w:val="clear" w:pos="567"/>
          <w:tab w:val="left" w:pos="851"/>
        </w:tabs>
        <w:spacing w:line="300" w:lineRule="exact"/>
        <w:jc w:val="both"/>
        <w:rPr>
          <w:rFonts w:ascii="Calibri" w:hAnsi="Calibri" w:cs="Calibri"/>
          <w:b/>
          <w:bCs/>
          <w:sz w:val="22"/>
          <w:szCs w:val="22"/>
          <w:lang w:val="en-US"/>
        </w:rPr>
      </w:pPr>
    </w:p>
    <w:p w14:paraId="70390959" w14:textId="77777777" w:rsidR="00C7250D" w:rsidRPr="00160C16" w:rsidRDefault="00C7250D" w:rsidP="00C7250D">
      <w:pPr>
        <w:pStyle w:val="Brdtext"/>
        <w:tabs>
          <w:tab w:val="clear" w:pos="567"/>
          <w:tab w:val="left" w:pos="851"/>
        </w:tabs>
        <w:spacing w:line="300" w:lineRule="exact"/>
        <w:jc w:val="both"/>
        <w:rPr>
          <w:rFonts w:ascii="Calibri" w:hAnsi="Calibri" w:cs="Calibri"/>
          <w:sz w:val="22"/>
          <w:szCs w:val="22"/>
        </w:rPr>
      </w:pPr>
      <w:r w:rsidRPr="00160C16">
        <w:rPr>
          <w:rFonts w:ascii="Calibri" w:hAnsi="Calibri" w:cs="Calibri"/>
          <w:sz w:val="22"/>
          <w:szCs w:val="22"/>
        </w:rPr>
        <w:t xml:space="preserve">Det antecknades att bolagsstämmans beslut enligt detta förslag samt bolagsstämmans godkännande av styrelsens beslut om emission av teckningsoptioner enligt § 6 ovan ska fattas som ett beslut och är således villkorade av varandra. </w:t>
      </w:r>
    </w:p>
    <w:p w14:paraId="57287E76" w14:textId="25E5F9A2" w:rsidR="00C7250D" w:rsidRPr="00762390" w:rsidRDefault="00C7250D" w:rsidP="00C7250D">
      <w:pPr>
        <w:pStyle w:val="Brdtext"/>
        <w:tabs>
          <w:tab w:val="clear" w:pos="567"/>
          <w:tab w:val="left" w:pos="851"/>
        </w:tabs>
        <w:spacing w:line="300" w:lineRule="exact"/>
        <w:jc w:val="both"/>
        <w:rPr>
          <w:rFonts w:ascii="Calibri" w:hAnsi="Calibri" w:cs="Calibri"/>
          <w:bCs/>
          <w:i/>
          <w:iCs/>
          <w:sz w:val="22"/>
          <w:szCs w:val="22"/>
          <w:lang w:val="en-US"/>
        </w:rPr>
      </w:pPr>
      <w:r w:rsidRPr="00762390">
        <w:rPr>
          <w:rFonts w:ascii="Calibri" w:hAnsi="Calibri" w:cs="Calibri"/>
          <w:bCs/>
          <w:i/>
          <w:iCs/>
          <w:sz w:val="22"/>
          <w:szCs w:val="22"/>
          <w:lang w:val="en-US"/>
        </w:rPr>
        <w:t>It was noted that the general meeting's decision according to this proposal and the general meeting's approval of the board's decision on</w:t>
      </w:r>
      <w:r w:rsidR="00762390">
        <w:rPr>
          <w:rFonts w:ascii="Calibri" w:hAnsi="Calibri" w:cs="Calibri"/>
          <w:bCs/>
          <w:i/>
          <w:iCs/>
          <w:sz w:val="22"/>
          <w:szCs w:val="22"/>
          <w:lang w:val="en-US"/>
        </w:rPr>
        <w:t xml:space="preserve"> </w:t>
      </w:r>
      <w:r w:rsidRPr="00762390">
        <w:rPr>
          <w:rFonts w:ascii="Calibri" w:hAnsi="Calibri" w:cs="Calibri"/>
          <w:bCs/>
          <w:i/>
          <w:iCs/>
          <w:sz w:val="22"/>
          <w:szCs w:val="22"/>
          <w:lang w:val="en-US"/>
        </w:rPr>
        <w:t>the issue of warrants according to § 6 above shall be made as one decision and are thus conditional on each other.</w:t>
      </w:r>
    </w:p>
    <w:p w14:paraId="251E70E4" w14:textId="77777777" w:rsidR="00AD014D" w:rsidRPr="00160C16" w:rsidRDefault="00AD014D" w:rsidP="00AD014D">
      <w:pPr>
        <w:pStyle w:val="Default"/>
        <w:jc w:val="both"/>
        <w:rPr>
          <w:rFonts w:ascii="Calibri" w:hAnsi="Calibri" w:cs="Calibri"/>
          <w:bCs/>
          <w:i/>
          <w:iCs/>
          <w:sz w:val="22"/>
          <w:szCs w:val="22"/>
          <w:lang w:val="en-GB"/>
        </w:rPr>
      </w:pPr>
    </w:p>
    <w:p w14:paraId="3C1C1FE8" w14:textId="77777777" w:rsidR="00DD4B87" w:rsidRPr="00160C16" w:rsidRDefault="00DD4B87" w:rsidP="00DD4B87">
      <w:pPr>
        <w:pStyle w:val="Default"/>
        <w:jc w:val="both"/>
        <w:rPr>
          <w:rFonts w:ascii="Calibri" w:hAnsi="Calibri" w:cs="Calibri"/>
          <w:b/>
          <w:i/>
          <w:iCs/>
          <w:sz w:val="22"/>
          <w:szCs w:val="22"/>
        </w:rPr>
      </w:pPr>
      <w:r w:rsidRPr="00160C16">
        <w:rPr>
          <w:rFonts w:ascii="Calibri" w:hAnsi="Calibri" w:cs="Calibri"/>
          <w:bCs/>
          <w:sz w:val="22"/>
          <w:szCs w:val="22"/>
        </w:rPr>
        <w:t>Stämmans beslut är giltigt endast om det har biträtts av aktieägare med minst 9/10 av såväl de avgivna rösterna som de på stämman företrädda aktierna.</w:t>
      </w:r>
    </w:p>
    <w:p w14:paraId="1E00CBEB" w14:textId="77777777" w:rsidR="00DD4B87" w:rsidRPr="00160C16" w:rsidRDefault="00DD4B87" w:rsidP="00DD4B87">
      <w:pPr>
        <w:pStyle w:val="Default"/>
        <w:jc w:val="both"/>
        <w:rPr>
          <w:rFonts w:ascii="Calibri" w:hAnsi="Calibri" w:cs="Calibri"/>
          <w:bCs/>
          <w:i/>
          <w:iCs/>
          <w:sz w:val="22"/>
          <w:szCs w:val="22"/>
          <w:lang w:val="en-GB"/>
        </w:rPr>
      </w:pPr>
      <w:r w:rsidRPr="00160C16">
        <w:rPr>
          <w:rFonts w:ascii="Calibri" w:hAnsi="Calibri" w:cs="Calibri"/>
          <w:bCs/>
          <w:i/>
          <w:iCs/>
          <w:sz w:val="22"/>
          <w:szCs w:val="22"/>
          <w:lang w:val="en-GB"/>
        </w:rPr>
        <w:t>The general meeting's decision is valid only if it has been supported by shareholders with at least 9/10 of both the votes cast and the shares represented at the meeting.</w:t>
      </w:r>
    </w:p>
    <w:p w14:paraId="2503EB2D" w14:textId="54AC821A" w:rsidR="007F0ACA" w:rsidRPr="00160C16" w:rsidRDefault="007F0ACA" w:rsidP="0034206A">
      <w:pPr>
        <w:spacing w:line="300" w:lineRule="exact"/>
        <w:jc w:val="both"/>
        <w:rPr>
          <w:rFonts w:ascii="Calibri" w:hAnsi="Calibri" w:cs="Calibri"/>
          <w:bCs/>
          <w:sz w:val="22"/>
          <w:szCs w:val="22"/>
          <w:lang w:val="en-GB"/>
        </w:rPr>
      </w:pPr>
    </w:p>
    <w:p w14:paraId="34409605" w14:textId="77777777" w:rsidR="00AD014D" w:rsidRPr="003A501E" w:rsidRDefault="00AD014D" w:rsidP="0034206A">
      <w:pPr>
        <w:spacing w:line="300" w:lineRule="exact"/>
        <w:jc w:val="both"/>
        <w:rPr>
          <w:rFonts w:ascii="Calibri" w:hAnsi="Calibri" w:cs="Calibri"/>
          <w:bCs/>
          <w:sz w:val="22"/>
          <w:szCs w:val="22"/>
          <w:lang w:val="en-GB"/>
        </w:rPr>
      </w:pPr>
    </w:p>
    <w:p w14:paraId="56968286" w14:textId="5C729538" w:rsidR="00E6286C" w:rsidRPr="00E6286C" w:rsidRDefault="000F3498" w:rsidP="0034206A">
      <w:pPr>
        <w:pStyle w:val="Rubrik1"/>
        <w:spacing w:before="0" w:after="0" w:line="300" w:lineRule="exact"/>
        <w:jc w:val="center"/>
        <w:rPr>
          <w:rFonts w:ascii="Calibri" w:hAnsi="Calibri" w:cs="Calibri"/>
          <w:b/>
          <w:bCs/>
          <w:color w:val="auto"/>
          <w:sz w:val="22"/>
          <w:szCs w:val="22"/>
        </w:rPr>
      </w:pPr>
      <w:r>
        <w:rPr>
          <w:rFonts w:ascii="Calibri" w:hAnsi="Calibri" w:cs="Calibri"/>
          <w:b/>
          <w:bCs/>
          <w:color w:val="auto"/>
          <w:sz w:val="22"/>
          <w:szCs w:val="22"/>
        </w:rPr>
        <w:t>O</w:t>
      </w:r>
      <w:r w:rsidR="00AD014D">
        <w:rPr>
          <w:rFonts w:ascii="Calibri" w:hAnsi="Calibri" w:cs="Calibri"/>
          <w:b/>
          <w:bCs/>
          <w:color w:val="auto"/>
          <w:sz w:val="22"/>
          <w:szCs w:val="22"/>
        </w:rPr>
        <w:t>ktober</w:t>
      </w:r>
      <w:r w:rsidR="00100FF7">
        <w:rPr>
          <w:rFonts w:ascii="Calibri" w:hAnsi="Calibri" w:cs="Calibri"/>
          <w:b/>
          <w:bCs/>
          <w:color w:val="auto"/>
          <w:sz w:val="22"/>
          <w:szCs w:val="22"/>
        </w:rPr>
        <w:t xml:space="preserve"> 2025</w:t>
      </w:r>
      <w:r w:rsidR="00E6286C" w:rsidRPr="00E6286C">
        <w:rPr>
          <w:rFonts w:ascii="Calibri" w:hAnsi="Calibri" w:cs="Calibri"/>
          <w:b/>
          <w:bCs/>
          <w:color w:val="auto"/>
          <w:sz w:val="22"/>
          <w:szCs w:val="22"/>
        </w:rPr>
        <w:t xml:space="preserve"> / </w:t>
      </w:r>
      <w:r w:rsidR="00AD014D">
        <w:rPr>
          <w:rFonts w:ascii="Calibri" w:hAnsi="Calibri" w:cs="Calibri"/>
          <w:b/>
          <w:bCs/>
          <w:i/>
          <w:iCs/>
          <w:color w:val="auto"/>
          <w:sz w:val="22"/>
          <w:szCs w:val="22"/>
        </w:rPr>
        <w:t>October</w:t>
      </w:r>
      <w:r w:rsidR="00100FF7">
        <w:rPr>
          <w:rFonts w:ascii="Calibri" w:hAnsi="Calibri" w:cs="Calibri"/>
          <w:b/>
          <w:bCs/>
          <w:i/>
          <w:iCs/>
          <w:color w:val="auto"/>
          <w:sz w:val="22"/>
          <w:szCs w:val="22"/>
        </w:rPr>
        <w:t xml:space="preserve"> 2025</w:t>
      </w:r>
    </w:p>
    <w:p w14:paraId="671A3508" w14:textId="77777777" w:rsidR="00E6286C" w:rsidRPr="00CC6B74" w:rsidRDefault="00E6286C" w:rsidP="0034206A">
      <w:pPr>
        <w:spacing w:line="300" w:lineRule="exact"/>
        <w:jc w:val="center"/>
        <w:rPr>
          <w:rFonts w:ascii="Calibri" w:hAnsi="Calibri" w:cs="Calibri"/>
          <w:b/>
          <w:sz w:val="22"/>
          <w:szCs w:val="22"/>
          <w:lang w:val="en-GB"/>
        </w:rPr>
      </w:pPr>
      <w:r w:rsidRPr="00CC6B74">
        <w:rPr>
          <w:rFonts w:ascii="Calibri" w:hAnsi="Calibri" w:cs="Calibri"/>
          <w:b/>
          <w:sz w:val="22"/>
          <w:szCs w:val="22"/>
          <w:lang w:val="en-GB"/>
        </w:rPr>
        <w:t>Bluelake Mineral AB (publ)</w:t>
      </w:r>
    </w:p>
    <w:p w14:paraId="73715263" w14:textId="77777777" w:rsidR="00E6286C" w:rsidRPr="00906A8F" w:rsidRDefault="00E6286C" w:rsidP="0034206A">
      <w:pPr>
        <w:spacing w:line="300" w:lineRule="exact"/>
        <w:jc w:val="center"/>
        <w:rPr>
          <w:rFonts w:ascii="Calibri" w:hAnsi="Calibri" w:cs="Calibri"/>
          <w:b/>
          <w:i/>
          <w:iCs/>
          <w:sz w:val="22"/>
          <w:szCs w:val="22"/>
          <w:lang w:val="en-GB"/>
        </w:rPr>
      </w:pPr>
      <w:r w:rsidRPr="00906A8F">
        <w:rPr>
          <w:rFonts w:ascii="Calibri" w:hAnsi="Calibri" w:cs="Calibri"/>
          <w:b/>
          <w:sz w:val="22"/>
          <w:szCs w:val="22"/>
          <w:lang w:val="en-GB"/>
        </w:rPr>
        <w:t xml:space="preserve">Styrelsen / </w:t>
      </w:r>
      <w:r w:rsidRPr="00906A8F">
        <w:rPr>
          <w:rFonts w:ascii="Calibri" w:hAnsi="Calibri" w:cs="Calibri"/>
          <w:b/>
          <w:i/>
          <w:iCs/>
          <w:sz w:val="22"/>
          <w:szCs w:val="22"/>
          <w:lang w:val="en-GB"/>
        </w:rPr>
        <w:t>The Board of Directors</w:t>
      </w:r>
    </w:p>
    <w:p w14:paraId="64D38BC7" w14:textId="77777777" w:rsidR="007F0ACA" w:rsidRPr="003A501E" w:rsidRDefault="007F0ACA" w:rsidP="0034206A">
      <w:pPr>
        <w:spacing w:line="300" w:lineRule="exact"/>
        <w:jc w:val="both"/>
        <w:rPr>
          <w:rFonts w:ascii="Calibri" w:hAnsi="Calibri" w:cs="Calibri"/>
          <w:b/>
          <w:sz w:val="22"/>
          <w:szCs w:val="22"/>
          <w:lang w:val="en-GB"/>
        </w:rPr>
      </w:pPr>
    </w:p>
    <w:p w14:paraId="4D1F13AF" w14:textId="77777777" w:rsidR="007F0ACA" w:rsidRPr="003A501E" w:rsidRDefault="007F0ACA" w:rsidP="0034206A">
      <w:pPr>
        <w:spacing w:line="300" w:lineRule="exact"/>
        <w:rPr>
          <w:lang w:val="en-GB"/>
        </w:rPr>
      </w:pPr>
    </w:p>
    <w:sectPr w:rsidR="007F0ACA" w:rsidRPr="003A501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298C" w14:textId="77777777" w:rsidR="00372460" w:rsidRDefault="00372460" w:rsidP="007F0ACA">
      <w:r>
        <w:separator/>
      </w:r>
    </w:p>
  </w:endnote>
  <w:endnote w:type="continuationSeparator" w:id="0">
    <w:p w14:paraId="7A92953E" w14:textId="77777777" w:rsidR="00372460" w:rsidRDefault="00372460" w:rsidP="007F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014219"/>
      <w:docPartObj>
        <w:docPartGallery w:val="Page Numbers (Bottom of Page)"/>
        <w:docPartUnique/>
      </w:docPartObj>
    </w:sdtPr>
    <w:sdtEndPr/>
    <w:sdtContent>
      <w:p w14:paraId="2AAB7F51" w14:textId="510C01F8" w:rsidR="00FB2C04" w:rsidRDefault="00FB2C04">
        <w:pPr>
          <w:pStyle w:val="Sidfot"/>
          <w:jc w:val="center"/>
        </w:pPr>
        <w:r w:rsidRPr="00FB2C04">
          <w:rPr>
            <w:rFonts w:ascii="Calibri" w:hAnsi="Calibri" w:cs="Calibri"/>
            <w:sz w:val="20"/>
          </w:rPr>
          <w:fldChar w:fldCharType="begin"/>
        </w:r>
        <w:r w:rsidRPr="00FB2C04">
          <w:rPr>
            <w:rFonts w:ascii="Calibri" w:hAnsi="Calibri" w:cs="Calibri"/>
            <w:sz w:val="20"/>
          </w:rPr>
          <w:instrText>PAGE   \* MERGEFORMAT</w:instrText>
        </w:r>
        <w:r w:rsidRPr="00FB2C04">
          <w:rPr>
            <w:rFonts w:ascii="Calibri" w:hAnsi="Calibri" w:cs="Calibri"/>
            <w:sz w:val="20"/>
          </w:rPr>
          <w:fldChar w:fldCharType="separate"/>
        </w:r>
        <w:r w:rsidRPr="00FB2C04">
          <w:rPr>
            <w:rFonts w:ascii="Calibri" w:hAnsi="Calibri" w:cs="Calibri"/>
            <w:sz w:val="20"/>
          </w:rPr>
          <w:t>2</w:t>
        </w:r>
        <w:r w:rsidRPr="00FB2C04">
          <w:rPr>
            <w:rFonts w:ascii="Calibri" w:hAnsi="Calibri" w:cs="Calibri"/>
            <w:sz w:val="20"/>
          </w:rPr>
          <w:fldChar w:fldCharType="end"/>
        </w:r>
        <w:r w:rsidRPr="00FB2C04">
          <w:rPr>
            <w:rFonts w:ascii="Calibri" w:hAnsi="Calibri" w:cs="Calibri"/>
            <w:sz w:val="20"/>
          </w:rPr>
          <w:t>(</w:t>
        </w:r>
        <w:r w:rsidR="00BA0628">
          <w:rPr>
            <w:rFonts w:ascii="Calibri" w:hAnsi="Calibri" w:cs="Calibri"/>
            <w:sz w:val="20"/>
          </w:rPr>
          <w:t>3</w:t>
        </w:r>
        <w:r w:rsidRPr="00FB2C04">
          <w:rPr>
            <w:rFonts w:ascii="Calibri" w:hAnsi="Calibri" w:cs="Calibri"/>
            <w:sz w:val="20"/>
          </w:rPr>
          <w:t>)</w:t>
        </w:r>
      </w:p>
    </w:sdtContent>
  </w:sdt>
  <w:p w14:paraId="6A5B3E0F" w14:textId="77777777" w:rsidR="00FB2C04" w:rsidRDefault="00FB2C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5E18" w14:textId="77777777" w:rsidR="00372460" w:rsidRDefault="00372460" w:rsidP="007F0ACA">
      <w:r>
        <w:separator/>
      </w:r>
    </w:p>
  </w:footnote>
  <w:footnote w:type="continuationSeparator" w:id="0">
    <w:p w14:paraId="5D1D9082" w14:textId="77777777" w:rsidR="00372460" w:rsidRDefault="00372460" w:rsidP="007F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88CF" w14:textId="360BE918" w:rsidR="007F0ACA" w:rsidRPr="007F0ACA" w:rsidRDefault="007F0ACA" w:rsidP="007F0ACA">
    <w:pPr>
      <w:ind w:left="3912"/>
      <w:jc w:val="right"/>
      <w:rPr>
        <w:lang w:val="en-GB"/>
      </w:rPr>
    </w:pPr>
    <w:r w:rsidRPr="00D1765E">
      <w:rPr>
        <w:rStyle w:val="Notetext"/>
        <w:lang w:val="en-GB"/>
      </w:rPr>
      <w:t>N.B. The English text is an unofficial translation</w:t>
    </w:r>
  </w:p>
  <w:p w14:paraId="35157AC8" w14:textId="60042439" w:rsidR="007F0ACA" w:rsidRDefault="007F0ACA">
    <w:pPr>
      <w:pStyle w:val="Sidhuvud"/>
    </w:pPr>
    <w:r w:rsidRPr="004A3E61">
      <w:rPr>
        <w:noProof/>
        <w:lang w:val="en-US" w:eastAsia="en-US"/>
      </w:rPr>
      <w:drawing>
        <wp:inline distT="0" distB="0" distL="0" distR="0" wp14:anchorId="4180ECC2" wp14:editId="672443FB">
          <wp:extent cx="1428750" cy="485775"/>
          <wp:effectExtent l="0" t="0" r="0" b="9525"/>
          <wp:docPr id="2066645299" name="Bildobjekt 1" descr="En bild som visar Teckensnitt, skärmbild, Grafik,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45299" name="Bildobjekt 1" descr="En bild som visar Teckensnitt, skärmbild, Grafik, text&#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85775"/>
                  </a:xfrm>
                  <a:prstGeom prst="rect">
                    <a:avLst/>
                  </a:prstGeom>
                  <a:noFill/>
                  <a:ln>
                    <a:noFill/>
                  </a:ln>
                </pic:spPr>
              </pic:pic>
            </a:graphicData>
          </a:graphic>
        </wp:inline>
      </w:drawing>
    </w:r>
  </w:p>
  <w:p w14:paraId="3B94DF65" w14:textId="77777777" w:rsidR="007F0ACA" w:rsidRDefault="007F0A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280"/>
    <w:multiLevelType w:val="hybridMultilevel"/>
    <w:tmpl w:val="7B5CEFA8"/>
    <w:lvl w:ilvl="0" w:tplc="96302524">
      <w:start w:val="1"/>
      <w:numFmt w:val="decimal"/>
      <w:lvlText w:val="%1."/>
      <w:lvlJc w:val="left"/>
      <w:pPr>
        <w:ind w:left="720" w:hanging="360"/>
      </w:pPr>
      <w:rPr>
        <w:b w:val="0"/>
        <w:bCs/>
        <w:i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2596286B"/>
    <w:multiLevelType w:val="hybridMultilevel"/>
    <w:tmpl w:val="A10A72AA"/>
    <w:lvl w:ilvl="0" w:tplc="F662A08C">
      <w:start w:val="1"/>
      <w:numFmt w:val="bullet"/>
      <w:lvlText w:val="-"/>
      <w:lvlJc w:val="left"/>
      <w:pPr>
        <w:ind w:left="786" w:hanging="360"/>
      </w:pPr>
      <w:rPr>
        <w:rFonts w:ascii="Calibri" w:eastAsia="Times New Roman"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30794011"/>
    <w:multiLevelType w:val="hybridMultilevel"/>
    <w:tmpl w:val="E690C882"/>
    <w:lvl w:ilvl="0" w:tplc="CE8A2EE8">
      <w:start w:val="1"/>
      <w:numFmt w:val="decimal"/>
      <w:lvlText w:val="%1."/>
      <w:lvlJc w:val="left"/>
      <w:pPr>
        <w:ind w:left="720" w:hanging="360"/>
      </w:pPr>
      <w:rPr>
        <w:rFonts w:asciiTheme="minorHAnsi" w:hAnsiTheme="minorHAnsi" w:cstheme="minorHAnsi" w:hint="default"/>
        <w:i w:val="0"/>
        <w:iCs w:val="0"/>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7CE5BA2"/>
    <w:multiLevelType w:val="hybridMultilevel"/>
    <w:tmpl w:val="C0562E38"/>
    <w:lvl w:ilvl="0" w:tplc="5F7A22EA">
      <w:start w:val="1"/>
      <w:numFmt w:val="decimal"/>
      <w:lvlText w:val="%1."/>
      <w:lvlJc w:val="left"/>
      <w:pPr>
        <w:ind w:left="360" w:hanging="360"/>
      </w:pPr>
      <w:rPr>
        <w:rFonts w:hint="default"/>
        <w:b w:val="0"/>
        <w:bCs/>
        <w:i w:val="0"/>
        <w:iCs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8579DB"/>
    <w:multiLevelType w:val="hybridMultilevel"/>
    <w:tmpl w:val="C590B04A"/>
    <w:lvl w:ilvl="0" w:tplc="BB32F49E">
      <w:start w:val="1"/>
      <w:numFmt w:val="decimal"/>
      <w:lvlText w:val="%1."/>
      <w:lvlJc w:val="left"/>
      <w:pPr>
        <w:ind w:left="1080" w:hanging="360"/>
      </w:pPr>
      <w:rPr>
        <w:rFonts w:ascii="Calibri" w:hAnsi="Calibri" w:cs="Calibri" w:hint="default"/>
        <w:b w:val="0"/>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9E71B2F"/>
    <w:multiLevelType w:val="hybridMultilevel"/>
    <w:tmpl w:val="085E4908"/>
    <w:lvl w:ilvl="0" w:tplc="F662A08C">
      <w:start w:val="1"/>
      <w:numFmt w:val="bullet"/>
      <w:lvlText w:val="-"/>
      <w:lvlJc w:val="left"/>
      <w:pPr>
        <w:ind w:left="786" w:hanging="360"/>
      </w:pPr>
      <w:rPr>
        <w:rFonts w:ascii="Calibri" w:eastAsia="Times New Roman"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2082410142">
    <w:abstractNumId w:val="4"/>
  </w:num>
  <w:num w:numId="2" w16cid:durableId="400834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0210259">
    <w:abstractNumId w:val="3"/>
  </w:num>
  <w:num w:numId="4" w16cid:durableId="980503149">
    <w:abstractNumId w:val="1"/>
  </w:num>
  <w:num w:numId="5" w16cid:durableId="1883863050">
    <w:abstractNumId w:val="5"/>
  </w:num>
  <w:num w:numId="6" w16cid:durableId="188566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CA"/>
    <w:rsid w:val="00012315"/>
    <w:rsid w:val="00033F70"/>
    <w:rsid w:val="00043772"/>
    <w:rsid w:val="0005215B"/>
    <w:rsid w:val="00070E8E"/>
    <w:rsid w:val="0007691D"/>
    <w:rsid w:val="000820BC"/>
    <w:rsid w:val="000A151F"/>
    <w:rsid w:val="000A36EF"/>
    <w:rsid w:val="000B6D5C"/>
    <w:rsid w:val="000E5946"/>
    <w:rsid w:val="000F3498"/>
    <w:rsid w:val="00100EC8"/>
    <w:rsid w:val="00100FF7"/>
    <w:rsid w:val="00107303"/>
    <w:rsid w:val="001473D4"/>
    <w:rsid w:val="00154CF5"/>
    <w:rsid w:val="00160C16"/>
    <w:rsid w:val="00165646"/>
    <w:rsid w:val="001928B0"/>
    <w:rsid w:val="00197002"/>
    <w:rsid w:val="001A2466"/>
    <w:rsid w:val="001C267D"/>
    <w:rsid w:val="001C4C5C"/>
    <w:rsid w:val="001E7779"/>
    <w:rsid w:val="001F55D4"/>
    <w:rsid w:val="001F65C8"/>
    <w:rsid w:val="00213149"/>
    <w:rsid w:val="002718F5"/>
    <w:rsid w:val="002C08EF"/>
    <w:rsid w:val="002C5C41"/>
    <w:rsid w:val="002C69CC"/>
    <w:rsid w:val="002C7821"/>
    <w:rsid w:val="002D09AA"/>
    <w:rsid w:val="00303A78"/>
    <w:rsid w:val="00331D3E"/>
    <w:rsid w:val="003368C5"/>
    <w:rsid w:val="003419C4"/>
    <w:rsid w:val="0034206A"/>
    <w:rsid w:val="00346610"/>
    <w:rsid w:val="00354926"/>
    <w:rsid w:val="00364AA3"/>
    <w:rsid w:val="00366548"/>
    <w:rsid w:val="00372460"/>
    <w:rsid w:val="00375350"/>
    <w:rsid w:val="00387CDC"/>
    <w:rsid w:val="0039412E"/>
    <w:rsid w:val="003A501E"/>
    <w:rsid w:val="003A7AAF"/>
    <w:rsid w:val="003D522E"/>
    <w:rsid w:val="003E19D2"/>
    <w:rsid w:val="003E72B2"/>
    <w:rsid w:val="004060B7"/>
    <w:rsid w:val="00456B7B"/>
    <w:rsid w:val="004646B1"/>
    <w:rsid w:val="00471322"/>
    <w:rsid w:val="0047232C"/>
    <w:rsid w:val="004A1B93"/>
    <w:rsid w:val="004A4D3E"/>
    <w:rsid w:val="004A57FC"/>
    <w:rsid w:val="004D03C0"/>
    <w:rsid w:val="004E5644"/>
    <w:rsid w:val="004F3DC8"/>
    <w:rsid w:val="00506A02"/>
    <w:rsid w:val="005313C3"/>
    <w:rsid w:val="005A2C83"/>
    <w:rsid w:val="005A5AF7"/>
    <w:rsid w:val="005C2C36"/>
    <w:rsid w:val="005D1D94"/>
    <w:rsid w:val="005E57B4"/>
    <w:rsid w:val="005F597C"/>
    <w:rsid w:val="006213D5"/>
    <w:rsid w:val="006347EC"/>
    <w:rsid w:val="00673A8C"/>
    <w:rsid w:val="00694939"/>
    <w:rsid w:val="006B117C"/>
    <w:rsid w:val="006D4133"/>
    <w:rsid w:val="006D42F2"/>
    <w:rsid w:val="006F7D87"/>
    <w:rsid w:val="007052F2"/>
    <w:rsid w:val="00720B4D"/>
    <w:rsid w:val="00727201"/>
    <w:rsid w:val="007503E1"/>
    <w:rsid w:val="007553B9"/>
    <w:rsid w:val="00757446"/>
    <w:rsid w:val="00762390"/>
    <w:rsid w:val="007A517D"/>
    <w:rsid w:val="007D30F5"/>
    <w:rsid w:val="007E7295"/>
    <w:rsid w:val="007F0ACA"/>
    <w:rsid w:val="007F58B6"/>
    <w:rsid w:val="00805E94"/>
    <w:rsid w:val="00826609"/>
    <w:rsid w:val="00841736"/>
    <w:rsid w:val="0084724A"/>
    <w:rsid w:val="00847306"/>
    <w:rsid w:val="008535EC"/>
    <w:rsid w:val="00887A64"/>
    <w:rsid w:val="008B3D07"/>
    <w:rsid w:val="008C3279"/>
    <w:rsid w:val="008D7E01"/>
    <w:rsid w:val="00906A8F"/>
    <w:rsid w:val="0090731E"/>
    <w:rsid w:val="00907D2C"/>
    <w:rsid w:val="00912A09"/>
    <w:rsid w:val="00913998"/>
    <w:rsid w:val="00914C57"/>
    <w:rsid w:val="00932E02"/>
    <w:rsid w:val="00972EBD"/>
    <w:rsid w:val="009B3458"/>
    <w:rsid w:val="009D6322"/>
    <w:rsid w:val="009E1596"/>
    <w:rsid w:val="009E48C3"/>
    <w:rsid w:val="009F7C91"/>
    <w:rsid w:val="00A01B66"/>
    <w:rsid w:val="00A10894"/>
    <w:rsid w:val="00A11FC9"/>
    <w:rsid w:val="00A17D60"/>
    <w:rsid w:val="00A302E6"/>
    <w:rsid w:val="00A3638E"/>
    <w:rsid w:val="00A60FF2"/>
    <w:rsid w:val="00AA6320"/>
    <w:rsid w:val="00AC322B"/>
    <w:rsid w:val="00AD014D"/>
    <w:rsid w:val="00AE3135"/>
    <w:rsid w:val="00AF4A90"/>
    <w:rsid w:val="00AF668C"/>
    <w:rsid w:val="00B06E56"/>
    <w:rsid w:val="00B43B84"/>
    <w:rsid w:val="00B52A63"/>
    <w:rsid w:val="00B5545E"/>
    <w:rsid w:val="00BA0628"/>
    <w:rsid w:val="00BB04C0"/>
    <w:rsid w:val="00BC190A"/>
    <w:rsid w:val="00BF610E"/>
    <w:rsid w:val="00BF7F5E"/>
    <w:rsid w:val="00C12881"/>
    <w:rsid w:val="00C13B60"/>
    <w:rsid w:val="00C254CD"/>
    <w:rsid w:val="00C37BA8"/>
    <w:rsid w:val="00C40583"/>
    <w:rsid w:val="00C43459"/>
    <w:rsid w:val="00C45308"/>
    <w:rsid w:val="00C5023F"/>
    <w:rsid w:val="00C62A55"/>
    <w:rsid w:val="00C7250D"/>
    <w:rsid w:val="00C75A17"/>
    <w:rsid w:val="00C80005"/>
    <w:rsid w:val="00C865EC"/>
    <w:rsid w:val="00C93E2D"/>
    <w:rsid w:val="00CB45F5"/>
    <w:rsid w:val="00CC3E19"/>
    <w:rsid w:val="00CD210E"/>
    <w:rsid w:val="00CE02A5"/>
    <w:rsid w:val="00CE3A1F"/>
    <w:rsid w:val="00D14F27"/>
    <w:rsid w:val="00D16839"/>
    <w:rsid w:val="00D3067F"/>
    <w:rsid w:val="00D42C2B"/>
    <w:rsid w:val="00D44581"/>
    <w:rsid w:val="00D72448"/>
    <w:rsid w:val="00D7295F"/>
    <w:rsid w:val="00D87521"/>
    <w:rsid w:val="00DA3277"/>
    <w:rsid w:val="00DD28ED"/>
    <w:rsid w:val="00DD34BF"/>
    <w:rsid w:val="00DD4B87"/>
    <w:rsid w:val="00DF4A8E"/>
    <w:rsid w:val="00E0324B"/>
    <w:rsid w:val="00E05F0D"/>
    <w:rsid w:val="00E107EF"/>
    <w:rsid w:val="00E173D8"/>
    <w:rsid w:val="00E233DF"/>
    <w:rsid w:val="00E245AB"/>
    <w:rsid w:val="00E45013"/>
    <w:rsid w:val="00E6286C"/>
    <w:rsid w:val="00E64FDC"/>
    <w:rsid w:val="00E67EF9"/>
    <w:rsid w:val="00E7234B"/>
    <w:rsid w:val="00E73BB9"/>
    <w:rsid w:val="00E92A5A"/>
    <w:rsid w:val="00E9374E"/>
    <w:rsid w:val="00E94057"/>
    <w:rsid w:val="00EA228B"/>
    <w:rsid w:val="00EB4B6C"/>
    <w:rsid w:val="00EC26C4"/>
    <w:rsid w:val="00ED78F6"/>
    <w:rsid w:val="00EE6687"/>
    <w:rsid w:val="00EE68B2"/>
    <w:rsid w:val="00EF7671"/>
    <w:rsid w:val="00F138E5"/>
    <w:rsid w:val="00F3090D"/>
    <w:rsid w:val="00F31049"/>
    <w:rsid w:val="00F33FBE"/>
    <w:rsid w:val="00F4185F"/>
    <w:rsid w:val="00F479D7"/>
    <w:rsid w:val="00F62B01"/>
    <w:rsid w:val="00F81A7E"/>
    <w:rsid w:val="00FB1B92"/>
    <w:rsid w:val="00FB2C04"/>
    <w:rsid w:val="00FD071F"/>
    <w:rsid w:val="00FD331C"/>
    <w:rsid w:val="00FD6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9852"/>
  <w15:chartTrackingRefBased/>
  <w15:docId w15:val="{3D115986-5389-4599-A7E5-45D8840C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14D"/>
    <w:pPr>
      <w:spacing w:after="0" w:line="240" w:lineRule="auto"/>
    </w:pPr>
    <w:rPr>
      <w:rFonts w:ascii="Times New Roman" w:eastAsia="Times New Roman" w:hAnsi="Times New Roman" w:cs="Times New Roman"/>
      <w:kern w:val="0"/>
      <w:szCs w:val="20"/>
      <w:lang w:val="sv-SE" w:eastAsia="sv-SE"/>
      <w14:ligatures w14:val="none"/>
    </w:rPr>
  </w:style>
  <w:style w:type="paragraph" w:styleId="Rubrik1">
    <w:name w:val="heading 1"/>
    <w:basedOn w:val="Normal"/>
    <w:next w:val="Normal"/>
    <w:link w:val="Rubrik1Char"/>
    <w:uiPriority w:val="9"/>
    <w:qFormat/>
    <w:rsid w:val="007F0A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Rubrik2">
    <w:name w:val="heading 2"/>
    <w:basedOn w:val="Normal"/>
    <w:next w:val="Normal"/>
    <w:link w:val="Rubrik2Char"/>
    <w:uiPriority w:val="9"/>
    <w:semiHidden/>
    <w:unhideWhenUsed/>
    <w:qFormat/>
    <w:rsid w:val="007F0A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Rubrik3">
    <w:name w:val="heading 3"/>
    <w:basedOn w:val="Normal"/>
    <w:next w:val="Normal"/>
    <w:link w:val="Rubrik3Char"/>
    <w:uiPriority w:val="9"/>
    <w:semiHidden/>
    <w:unhideWhenUsed/>
    <w:qFormat/>
    <w:rsid w:val="007F0A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14:ligatures w14:val="standardContextual"/>
    </w:rPr>
  </w:style>
  <w:style w:type="paragraph" w:styleId="Rubrik4">
    <w:name w:val="heading 4"/>
    <w:basedOn w:val="Normal"/>
    <w:next w:val="Normal"/>
    <w:link w:val="Rubrik4Char"/>
    <w:uiPriority w:val="9"/>
    <w:semiHidden/>
    <w:unhideWhenUsed/>
    <w:qFormat/>
    <w:rsid w:val="007F0AC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GB" w:eastAsia="en-US"/>
      <w14:ligatures w14:val="standardContextual"/>
    </w:rPr>
  </w:style>
  <w:style w:type="paragraph" w:styleId="Rubrik5">
    <w:name w:val="heading 5"/>
    <w:basedOn w:val="Normal"/>
    <w:next w:val="Normal"/>
    <w:link w:val="Rubrik5Char"/>
    <w:uiPriority w:val="9"/>
    <w:semiHidden/>
    <w:unhideWhenUsed/>
    <w:qFormat/>
    <w:rsid w:val="007F0AC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GB" w:eastAsia="en-US"/>
      <w14:ligatures w14:val="standardContextual"/>
    </w:rPr>
  </w:style>
  <w:style w:type="paragraph" w:styleId="Rubrik6">
    <w:name w:val="heading 6"/>
    <w:basedOn w:val="Normal"/>
    <w:next w:val="Normal"/>
    <w:link w:val="Rubrik6Char"/>
    <w:uiPriority w:val="9"/>
    <w:semiHidden/>
    <w:unhideWhenUsed/>
    <w:qFormat/>
    <w:rsid w:val="007F0ACA"/>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GB" w:eastAsia="en-US"/>
      <w14:ligatures w14:val="standardContextual"/>
    </w:rPr>
  </w:style>
  <w:style w:type="paragraph" w:styleId="Rubrik7">
    <w:name w:val="heading 7"/>
    <w:basedOn w:val="Normal"/>
    <w:next w:val="Normal"/>
    <w:link w:val="Rubrik7Char"/>
    <w:uiPriority w:val="9"/>
    <w:semiHidden/>
    <w:unhideWhenUsed/>
    <w:qFormat/>
    <w:rsid w:val="007F0ACA"/>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GB" w:eastAsia="en-US"/>
      <w14:ligatures w14:val="standardContextual"/>
    </w:rPr>
  </w:style>
  <w:style w:type="paragraph" w:styleId="Rubrik8">
    <w:name w:val="heading 8"/>
    <w:basedOn w:val="Normal"/>
    <w:next w:val="Normal"/>
    <w:link w:val="Rubrik8Char"/>
    <w:uiPriority w:val="9"/>
    <w:semiHidden/>
    <w:unhideWhenUsed/>
    <w:qFormat/>
    <w:rsid w:val="007F0ACA"/>
    <w:pPr>
      <w:keepNext/>
      <w:keepLines/>
      <w:spacing w:line="278" w:lineRule="auto"/>
      <w:outlineLvl w:val="7"/>
    </w:pPr>
    <w:rPr>
      <w:rFonts w:asciiTheme="minorHAnsi" w:eastAsiaTheme="majorEastAsia" w:hAnsiTheme="minorHAnsi" w:cstheme="majorBidi"/>
      <w:i/>
      <w:iCs/>
      <w:color w:val="272727" w:themeColor="text1" w:themeTint="D8"/>
      <w:kern w:val="2"/>
      <w:szCs w:val="24"/>
      <w:lang w:val="en-GB" w:eastAsia="en-US"/>
      <w14:ligatures w14:val="standardContextual"/>
    </w:rPr>
  </w:style>
  <w:style w:type="paragraph" w:styleId="Rubrik9">
    <w:name w:val="heading 9"/>
    <w:basedOn w:val="Normal"/>
    <w:next w:val="Normal"/>
    <w:link w:val="Rubrik9Char"/>
    <w:unhideWhenUsed/>
    <w:qFormat/>
    <w:rsid w:val="007F0ACA"/>
    <w:pPr>
      <w:keepNext/>
      <w:keepLines/>
      <w:spacing w:line="278" w:lineRule="auto"/>
      <w:outlineLvl w:val="8"/>
    </w:pPr>
    <w:rPr>
      <w:rFonts w:asciiTheme="minorHAnsi" w:eastAsiaTheme="majorEastAsia" w:hAnsiTheme="minorHAnsi" w:cstheme="majorBidi"/>
      <w:color w:val="272727" w:themeColor="text1" w:themeTint="D8"/>
      <w:kern w:val="2"/>
      <w:szCs w:val="24"/>
      <w:lang w:val="en-GB"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F0AC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F0AC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F0AC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F0AC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F0AC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F0AC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F0AC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F0ACA"/>
    <w:rPr>
      <w:rFonts w:eastAsiaTheme="majorEastAsia" w:cstheme="majorBidi"/>
      <w:i/>
      <w:iCs/>
      <w:color w:val="272727" w:themeColor="text1" w:themeTint="D8"/>
    </w:rPr>
  </w:style>
  <w:style w:type="character" w:customStyle="1" w:styleId="Rubrik9Char">
    <w:name w:val="Rubrik 9 Char"/>
    <w:basedOn w:val="Standardstycketeckensnitt"/>
    <w:link w:val="Rubrik9"/>
    <w:rsid w:val="007F0ACA"/>
    <w:rPr>
      <w:rFonts w:eastAsiaTheme="majorEastAsia" w:cstheme="majorBidi"/>
      <w:color w:val="272727" w:themeColor="text1" w:themeTint="D8"/>
    </w:rPr>
  </w:style>
  <w:style w:type="paragraph" w:styleId="Rubrik">
    <w:name w:val="Title"/>
    <w:basedOn w:val="Normal"/>
    <w:next w:val="Normal"/>
    <w:link w:val="RubrikChar"/>
    <w:uiPriority w:val="10"/>
    <w:qFormat/>
    <w:rsid w:val="007F0ACA"/>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RubrikChar">
    <w:name w:val="Rubrik Char"/>
    <w:basedOn w:val="Standardstycketeckensnitt"/>
    <w:link w:val="Rubrik"/>
    <w:uiPriority w:val="10"/>
    <w:rsid w:val="007F0AC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F0A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UnderrubrikChar">
    <w:name w:val="Underrubrik Char"/>
    <w:basedOn w:val="Standardstycketeckensnitt"/>
    <w:link w:val="Underrubrik"/>
    <w:uiPriority w:val="11"/>
    <w:rsid w:val="007F0AC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F0ACA"/>
    <w:pPr>
      <w:spacing w:before="160" w:after="160" w:line="278" w:lineRule="auto"/>
      <w:jc w:val="center"/>
    </w:pPr>
    <w:rPr>
      <w:rFonts w:asciiTheme="minorHAnsi" w:eastAsiaTheme="minorHAnsi" w:hAnsiTheme="minorHAnsi" w:cstheme="minorBidi"/>
      <w:i/>
      <w:iCs/>
      <w:color w:val="404040" w:themeColor="text1" w:themeTint="BF"/>
      <w:kern w:val="2"/>
      <w:szCs w:val="24"/>
      <w:lang w:val="en-GB" w:eastAsia="en-US"/>
      <w14:ligatures w14:val="standardContextual"/>
    </w:rPr>
  </w:style>
  <w:style w:type="character" w:customStyle="1" w:styleId="CitatChar">
    <w:name w:val="Citat Char"/>
    <w:basedOn w:val="Standardstycketeckensnitt"/>
    <w:link w:val="Citat"/>
    <w:uiPriority w:val="29"/>
    <w:rsid w:val="007F0ACA"/>
    <w:rPr>
      <w:i/>
      <w:iCs/>
      <w:color w:val="404040" w:themeColor="text1" w:themeTint="BF"/>
    </w:rPr>
  </w:style>
  <w:style w:type="paragraph" w:styleId="Liststycke">
    <w:name w:val="List Paragraph"/>
    <w:basedOn w:val="Normal"/>
    <w:uiPriority w:val="99"/>
    <w:qFormat/>
    <w:rsid w:val="007F0ACA"/>
    <w:pPr>
      <w:spacing w:after="160" w:line="278" w:lineRule="auto"/>
      <w:ind w:left="720"/>
      <w:contextualSpacing/>
    </w:pPr>
    <w:rPr>
      <w:rFonts w:asciiTheme="minorHAnsi" w:eastAsiaTheme="minorHAnsi" w:hAnsiTheme="minorHAnsi" w:cstheme="minorBidi"/>
      <w:kern w:val="2"/>
      <w:szCs w:val="24"/>
      <w:lang w:val="en-GB" w:eastAsia="en-US"/>
      <w14:ligatures w14:val="standardContextual"/>
    </w:rPr>
  </w:style>
  <w:style w:type="character" w:styleId="Starkbetoning">
    <w:name w:val="Intense Emphasis"/>
    <w:basedOn w:val="Standardstycketeckensnitt"/>
    <w:uiPriority w:val="21"/>
    <w:qFormat/>
    <w:rsid w:val="007F0ACA"/>
    <w:rPr>
      <w:i/>
      <w:iCs/>
      <w:color w:val="0F4761" w:themeColor="accent1" w:themeShade="BF"/>
    </w:rPr>
  </w:style>
  <w:style w:type="paragraph" w:styleId="Starktcitat">
    <w:name w:val="Intense Quote"/>
    <w:basedOn w:val="Normal"/>
    <w:next w:val="Normal"/>
    <w:link w:val="StarktcitatChar"/>
    <w:uiPriority w:val="30"/>
    <w:qFormat/>
    <w:rsid w:val="007F0A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GB" w:eastAsia="en-US"/>
      <w14:ligatures w14:val="standardContextual"/>
    </w:rPr>
  </w:style>
  <w:style w:type="character" w:customStyle="1" w:styleId="StarktcitatChar">
    <w:name w:val="Starkt citat Char"/>
    <w:basedOn w:val="Standardstycketeckensnitt"/>
    <w:link w:val="Starktcitat"/>
    <w:uiPriority w:val="30"/>
    <w:rsid w:val="007F0ACA"/>
    <w:rPr>
      <w:i/>
      <w:iCs/>
      <w:color w:val="0F4761" w:themeColor="accent1" w:themeShade="BF"/>
    </w:rPr>
  </w:style>
  <w:style w:type="character" w:styleId="Starkreferens">
    <w:name w:val="Intense Reference"/>
    <w:basedOn w:val="Standardstycketeckensnitt"/>
    <w:uiPriority w:val="32"/>
    <w:qFormat/>
    <w:rsid w:val="007F0ACA"/>
    <w:rPr>
      <w:b/>
      <w:bCs/>
      <w:smallCaps/>
      <w:color w:val="0F4761" w:themeColor="accent1" w:themeShade="BF"/>
      <w:spacing w:val="5"/>
    </w:rPr>
  </w:style>
  <w:style w:type="paragraph" w:customStyle="1" w:styleId="Default">
    <w:name w:val="Default"/>
    <w:rsid w:val="007F0ACA"/>
    <w:pPr>
      <w:autoSpaceDE w:val="0"/>
      <w:autoSpaceDN w:val="0"/>
      <w:adjustRightInd w:val="0"/>
      <w:spacing w:after="0" w:line="300" w:lineRule="exact"/>
    </w:pPr>
    <w:rPr>
      <w:rFonts w:ascii="Arial" w:eastAsia="Calibri" w:hAnsi="Arial" w:cs="Arial"/>
      <w:color w:val="000000"/>
      <w:kern w:val="0"/>
      <w:lang w:val="sv-SE" w:eastAsia="sv-SE"/>
      <w14:ligatures w14:val="none"/>
    </w:rPr>
  </w:style>
  <w:style w:type="paragraph" w:styleId="Sidhuvud">
    <w:name w:val="header"/>
    <w:basedOn w:val="Normal"/>
    <w:link w:val="SidhuvudChar"/>
    <w:uiPriority w:val="99"/>
    <w:unhideWhenUsed/>
    <w:rsid w:val="007F0ACA"/>
    <w:pPr>
      <w:tabs>
        <w:tab w:val="center" w:pos="4536"/>
        <w:tab w:val="right" w:pos="9072"/>
      </w:tabs>
    </w:pPr>
  </w:style>
  <w:style w:type="character" w:customStyle="1" w:styleId="SidhuvudChar">
    <w:name w:val="Sidhuvud Char"/>
    <w:basedOn w:val="Standardstycketeckensnitt"/>
    <w:link w:val="Sidhuvud"/>
    <w:uiPriority w:val="99"/>
    <w:rsid w:val="007F0ACA"/>
    <w:rPr>
      <w:rFonts w:ascii="Times New Roman" w:eastAsia="Times New Roman" w:hAnsi="Times New Roman" w:cs="Times New Roman"/>
      <w:kern w:val="0"/>
      <w:szCs w:val="20"/>
      <w:lang w:val="sv-SE" w:eastAsia="sv-SE"/>
      <w14:ligatures w14:val="none"/>
    </w:rPr>
  </w:style>
  <w:style w:type="paragraph" w:styleId="Sidfot">
    <w:name w:val="footer"/>
    <w:basedOn w:val="Normal"/>
    <w:link w:val="SidfotChar"/>
    <w:uiPriority w:val="99"/>
    <w:unhideWhenUsed/>
    <w:rsid w:val="007F0ACA"/>
    <w:pPr>
      <w:tabs>
        <w:tab w:val="center" w:pos="4536"/>
        <w:tab w:val="right" w:pos="9072"/>
      </w:tabs>
    </w:pPr>
  </w:style>
  <w:style w:type="character" w:customStyle="1" w:styleId="SidfotChar">
    <w:name w:val="Sidfot Char"/>
    <w:basedOn w:val="Standardstycketeckensnitt"/>
    <w:link w:val="Sidfot"/>
    <w:uiPriority w:val="99"/>
    <w:rsid w:val="007F0ACA"/>
    <w:rPr>
      <w:rFonts w:ascii="Times New Roman" w:eastAsia="Times New Roman" w:hAnsi="Times New Roman" w:cs="Times New Roman"/>
      <w:kern w:val="0"/>
      <w:szCs w:val="20"/>
      <w:lang w:val="sv-SE" w:eastAsia="sv-SE"/>
      <w14:ligatures w14:val="none"/>
    </w:rPr>
  </w:style>
  <w:style w:type="character" w:customStyle="1" w:styleId="Notetext">
    <w:name w:val="Note text"/>
    <w:qFormat/>
    <w:rsid w:val="007F0ACA"/>
    <w:rPr>
      <w:rFonts w:eastAsia="Calibri"/>
      <w:i/>
      <w:sz w:val="18"/>
      <w:szCs w:val="22"/>
      <w:lang w:val="sv-SE" w:eastAsia="en-US"/>
    </w:rPr>
  </w:style>
  <w:style w:type="paragraph" w:styleId="Normalwebb">
    <w:name w:val="Normal (Web)"/>
    <w:basedOn w:val="Normal"/>
    <w:uiPriority w:val="99"/>
    <w:semiHidden/>
    <w:unhideWhenUsed/>
    <w:rsid w:val="007F0ACA"/>
    <w:pPr>
      <w:spacing w:before="100" w:beforeAutospacing="1" w:after="100" w:afterAutospacing="1"/>
    </w:pPr>
    <w:rPr>
      <w:szCs w:val="24"/>
      <w:lang w:val="en-GB" w:eastAsia="en-GB"/>
    </w:rPr>
  </w:style>
  <w:style w:type="paragraph" w:styleId="Brdtext">
    <w:name w:val="Body Text"/>
    <w:basedOn w:val="Normal"/>
    <w:link w:val="BrdtextChar"/>
    <w:uiPriority w:val="99"/>
    <w:semiHidden/>
    <w:rsid w:val="00033F70"/>
    <w:pPr>
      <w:tabs>
        <w:tab w:val="left" w:pos="567"/>
      </w:tabs>
    </w:pPr>
  </w:style>
  <w:style w:type="character" w:customStyle="1" w:styleId="BrdtextChar">
    <w:name w:val="Brödtext Char"/>
    <w:basedOn w:val="Standardstycketeckensnitt"/>
    <w:link w:val="Brdtext"/>
    <w:uiPriority w:val="99"/>
    <w:semiHidden/>
    <w:rsid w:val="00033F70"/>
    <w:rPr>
      <w:rFonts w:ascii="Times New Roman" w:eastAsia="Times New Roman" w:hAnsi="Times New Roman" w:cs="Times New Roman"/>
      <w:kern w:val="0"/>
      <w:szCs w:val="20"/>
      <w:lang w:val="sv-SE" w:eastAsia="sv-SE"/>
      <w14:ligatures w14:val="none"/>
    </w:rPr>
  </w:style>
  <w:style w:type="paragraph" w:styleId="Revision">
    <w:name w:val="Revision"/>
    <w:hidden/>
    <w:uiPriority w:val="99"/>
    <w:semiHidden/>
    <w:rsid w:val="00762390"/>
    <w:pPr>
      <w:spacing w:after="0" w:line="240" w:lineRule="auto"/>
    </w:pPr>
    <w:rPr>
      <w:rFonts w:ascii="Times New Roman" w:eastAsia="Times New Roman" w:hAnsi="Times New Roman" w:cs="Times New Roman"/>
      <w:kern w:val="0"/>
      <w:szCs w:val="20"/>
      <w:lang w:val="sv-SE"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MATTERS!25577842.1</documentid>
  <senderid>IZABELLA.BARISA</senderid>
  <senderemail>IZABELLA.BARISA@SCHJODT.COM</senderemail>
  <lastmodified>2025-10-21T16:19:00.0000000+02:00</lastmodified>
  <database>MATTERS</database>
</properties>
</file>

<file path=customXml/itemProps1.xml><?xml version="1.0" encoding="utf-8"?>
<ds:datastoreItem xmlns:ds="http://schemas.openxmlformats.org/officeDocument/2006/customXml" ds:itemID="{95182CEE-75AE-44A0-9FF8-CE797A76E0AE}">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6838</Characters>
  <Application>Microsoft Office Word</Application>
  <DocSecurity>4</DocSecurity>
  <Lines>129</Lines>
  <Paragraphs>53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Simonsson</dc:creator>
  <cp:keywords/>
  <dc:description/>
  <cp:lastModifiedBy>My Simonsson</cp:lastModifiedBy>
  <cp:revision>2</cp:revision>
  <cp:lastPrinted>2025-04-02T04:05:00Z</cp:lastPrinted>
  <dcterms:created xsi:type="dcterms:W3CDTF">2025-10-21T14:52:00Z</dcterms:created>
  <dcterms:modified xsi:type="dcterms:W3CDTF">2025-10-21T14:52:00Z</dcterms:modified>
</cp:coreProperties>
</file>